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7A" w:rsidRDefault="00450D7A">
      <w:pPr>
        <w:jc w:val="center"/>
        <w:rPr>
          <w:rFonts w:ascii="Arial" w:hAnsi="Arial"/>
          <w:b/>
          <w:bCs/>
          <w:sz w:val="36"/>
          <w:u w:val="double"/>
        </w:rPr>
      </w:pPr>
    </w:p>
    <w:p w:rsidR="00450D7A" w:rsidRDefault="006F0583">
      <w:pPr>
        <w:pStyle w:val="berschrift1"/>
      </w:pPr>
      <w:r>
        <w:t>Merkblatt</w:t>
      </w:r>
    </w:p>
    <w:p w:rsidR="00450D7A" w:rsidRDefault="006F0583">
      <w:pPr>
        <w:pStyle w:val="berschrift1"/>
      </w:pPr>
      <w:r>
        <w:t>zum Ablauf einer Ausschreibung</w:t>
      </w:r>
    </w:p>
    <w:p w:rsidR="00450D7A" w:rsidRDefault="006F0583">
      <w:pPr>
        <w:pStyle w:val="berschrift2"/>
      </w:pPr>
      <w:r>
        <w:t>(Geltungsbereich: offenes und nicht offenes Verfahren mit Bekanntmachung</w:t>
      </w:r>
    </w:p>
    <w:p w:rsidR="00450D7A" w:rsidRDefault="006F0583">
      <w:pPr>
        <w:pStyle w:val="berschrift2"/>
      </w:pPr>
      <w:r>
        <w:t xml:space="preserve">bei </w:t>
      </w:r>
      <w:r w:rsidR="008F50F6">
        <w:t xml:space="preserve">einem geschätzten Auftragswert ab Euro </w:t>
      </w:r>
      <w:r>
        <w:t>120.000)</w:t>
      </w:r>
    </w:p>
    <w:p w:rsidR="00450D7A" w:rsidRDefault="00450D7A">
      <w:pPr>
        <w:rPr>
          <w:rFonts w:ascii="Arial" w:hAnsi="Arial"/>
        </w:rPr>
      </w:pPr>
    </w:p>
    <w:p w:rsidR="00450D7A" w:rsidRDefault="00450D7A">
      <w:pPr>
        <w:jc w:val="both"/>
        <w:rPr>
          <w:rFonts w:ascii="Arial" w:hAnsi="Arial"/>
        </w:rPr>
      </w:pPr>
    </w:p>
    <w:p w:rsidR="00450D7A" w:rsidRDefault="00450D7A">
      <w:pPr>
        <w:jc w:val="both"/>
        <w:rPr>
          <w:rFonts w:ascii="Arial" w:hAnsi="Arial"/>
        </w:rPr>
      </w:pPr>
    </w:p>
    <w:p w:rsidR="00450D7A" w:rsidRDefault="00450D7A">
      <w:pPr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Ausschreibungsanmeldung</w:t>
      </w:r>
      <w:r>
        <w:rPr>
          <w:rFonts w:ascii="Arial" w:hAnsi="Arial"/>
        </w:rPr>
        <w:t xml:space="preserve"> des Förderungsnehmers (bzw. Planers/Verfassers der Ausschreibungsunterlagen) an die </w:t>
      </w:r>
      <w:r w:rsidR="008F50F6">
        <w:rPr>
          <w:rFonts w:ascii="Arial" w:hAnsi="Arial"/>
        </w:rPr>
        <w:t>Abteilung 14</w:t>
      </w:r>
      <w:r>
        <w:rPr>
          <w:rFonts w:ascii="Arial" w:hAnsi="Arial"/>
        </w:rPr>
        <w:t xml:space="preserve"> (gemäß LSW 2003) unter Angabe des beabsichtigten Ortes und des Termine</w:t>
      </w:r>
      <w:r w:rsidR="008F50F6">
        <w:rPr>
          <w:rFonts w:ascii="Arial" w:hAnsi="Arial"/>
        </w:rPr>
        <w:t>s</w:t>
      </w:r>
      <w:r>
        <w:rPr>
          <w:rFonts w:ascii="Arial" w:hAnsi="Arial"/>
        </w:rPr>
        <w:t xml:space="preserve"> der Angebotseröffnung sowie der örtlichen Bauaufsicht und des Planungs- und Baustellenkoordinators). Sofern bei der Förderstelle des Landes (A</w:t>
      </w:r>
      <w:r w:rsidR="008F50F6">
        <w:rPr>
          <w:rFonts w:ascii="Arial" w:hAnsi="Arial"/>
        </w:rPr>
        <w:t>14</w:t>
      </w:r>
      <w:r>
        <w:rPr>
          <w:rFonts w:ascii="Arial" w:hAnsi="Arial"/>
        </w:rPr>
        <w:t xml:space="preserve">) noch kein Förderungsansuchen eingereicht wurde, ist der Ausschreibungsanmeldung ein vorläufiger Katalog anzuschließen. </w:t>
      </w:r>
    </w:p>
    <w:p w:rsidR="00450D7A" w:rsidRDefault="00450D7A">
      <w:pPr>
        <w:pStyle w:val="Fuzeile"/>
        <w:tabs>
          <w:tab w:val="clear" w:pos="4536"/>
          <w:tab w:val="clear" w:pos="9072"/>
          <w:tab w:val="num" w:pos="426"/>
        </w:tabs>
        <w:ind w:left="426" w:hanging="426"/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</w:rPr>
        <w:t>Prüfung der Ausschreibungsanmeldung</w:t>
      </w:r>
      <w:r>
        <w:rPr>
          <w:rFonts w:ascii="Arial" w:hAnsi="Arial"/>
          <w:spacing w:val="-4"/>
        </w:rPr>
        <w:t xml:space="preserve"> durch die </w:t>
      </w:r>
      <w:r w:rsidR="008F50F6">
        <w:rPr>
          <w:rFonts w:ascii="Arial" w:hAnsi="Arial"/>
          <w:spacing w:val="-4"/>
        </w:rPr>
        <w:t>Abteilung 14</w:t>
      </w:r>
      <w:r>
        <w:rPr>
          <w:rFonts w:ascii="Arial" w:hAnsi="Arial"/>
          <w:spacing w:val="-4"/>
        </w:rPr>
        <w:t xml:space="preserve"> hinsichtlich der Förderungsfähigkeit und der Übereinstimmung mit den Förderungsbedingungen.</w:t>
      </w:r>
    </w:p>
    <w:p w:rsidR="00450D7A" w:rsidRDefault="00450D7A">
      <w:pPr>
        <w:tabs>
          <w:tab w:val="num" w:pos="426"/>
        </w:tabs>
        <w:ind w:left="426" w:hanging="426"/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Eine allfällige Stellungnahme der </w:t>
      </w:r>
      <w:r w:rsidR="008F50F6">
        <w:rPr>
          <w:rFonts w:ascii="Arial" w:hAnsi="Arial"/>
        </w:rPr>
        <w:t>Abteilung 14</w:t>
      </w:r>
      <w:r>
        <w:rPr>
          <w:rFonts w:ascii="Arial" w:hAnsi="Arial"/>
        </w:rPr>
        <w:t xml:space="preserve"> zur Ausschreibungsanmeldung ergeht an den Förderungsnehmer und an den Verfasser der Ausschreibung.</w:t>
      </w:r>
    </w:p>
    <w:p w:rsidR="00450D7A" w:rsidRDefault="00450D7A">
      <w:pPr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Die </w:t>
      </w:r>
      <w:r>
        <w:rPr>
          <w:rFonts w:ascii="Arial" w:hAnsi="Arial"/>
          <w:b/>
          <w:bCs/>
        </w:rPr>
        <w:t>Bekanntmachung</w:t>
      </w:r>
      <w:r>
        <w:rPr>
          <w:rFonts w:ascii="Arial" w:hAnsi="Arial"/>
        </w:rPr>
        <w:t xml:space="preserve"> der Ausschreibung hat jedenfalls im „Amtlichen Lieferanzeiger“ (Internetadresse; </w:t>
      </w:r>
      <w:hyperlink r:id="rId8" w:history="1">
        <w:r>
          <w:rPr>
            <w:rStyle w:val="Hyperlink"/>
            <w:rFonts w:ascii="Arial" w:hAnsi="Arial"/>
          </w:rPr>
          <w:t>www.lieferanzeiger.at</w:t>
        </w:r>
      </w:hyperlink>
      <w:r>
        <w:rPr>
          <w:rFonts w:ascii="Arial" w:hAnsi="Arial"/>
        </w:rPr>
        <w:t>) zu erfolgen.</w:t>
      </w:r>
    </w:p>
    <w:p w:rsidR="00450D7A" w:rsidRDefault="00450D7A">
      <w:pPr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Die Angebotseröffnung ist der </w:t>
      </w:r>
      <w:r w:rsidR="008F50F6">
        <w:rPr>
          <w:rFonts w:ascii="Arial" w:hAnsi="Arial"/>
        </w:rPr>
        <w:t>Abteilung 14</w:t>
      </w:r>
      <w:r>
        <w:rPr>
          <w:rFonts w:ascii="Arial" w:hAnsi="Arial"/>
        </w:rPr>
        <w:t xml:space="preserve"> – sofern dies nicht bereits anlässlich der Ausschreibungsanmeldung erfolgte – zwei Wochen vor dem Öffnungstermin schriftlich bekannt zu geben.</w:t>
      </w:r>
    </w:p>
    <w:p w:rsidR="00450D7A" w:rsidRDefault="00450D7A">
      <w:pPr>
        <w:tabs>
          <w:tab w:val="num" w:pos="426"/>
        </w:tabs>
        <w:ind w:left="426" w:hanging="426"/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Durchführung der </w:t>
      </w:r>
      <w:r>
        <w:rPr>
          <w:rFonts w:ascii="Arial" w:hAnsi="Arial"/>
          <w:b/>
          <w:bCs/>
        </w:rPr>
        <w:t>Angebotseröffnung</w:t>
      </w:r>
      <w:r>
        <w:rPr>
          <w:rFonts w:ascii="Arial" w:hAnsi="Arial"/>
        </w:rPr>
        <w:t>. Bei der Entgegennahme, Verwahrung und Öffnung der Angebote ist nach den Bestimmungen der ÖNORM A2050 vorzugehen. Niederschriften verbleiben jedenfalls beim Auftraggeber (Fördernehmer) und beim Planer (Verfasser der Ausschreibungsunterlagen).</w:t>
      </w:r>
    </w:p>
    <w:p w:rsidR="00450D7A" w:rsidRDefault="00450D7A">
      <w:pPr>
        <w:tabs>
          <w:tab w:val="num" w:pos="426"/>
        </w:tabs>
        <w:ind w:left="426" w:hanging="426"/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Prüfung der Angebote</w:t>
      </w:r>
      <w:r>
        <w:rPr>
          <w:rFonts w:ascii="Arial" w:hAnsi="Arial"/>
        </w:rPr>
        <w:t xml:space="preserve"> durch den Verfasser der Ausschreibung und </w:t>
      </w:r>
      <w:r>
        <w:rPr>
          <w:rFonts w:ascii="Arial" w:hAnsi="Arial"/>
          <w:b/>
          <w:bCs/>
        </w:rPr>
        <w:t>Erstellung des Prüfberichtes</w:t>
      </w:r>
      <w:r>
        <w:rPr>
          <w:rFonts w:ascii="Arial" w:hAnsi="Arial"/>
        </w:rPr>
        <w:t xml:space="preserve"> gemäß LSW 2003 (Muster Prüfbericht) mit Feststellung des Best- bzw. Billigstbieters (Frist 15 Arbeitstage).</w:t>
      </w:r>
    </w:p>
    <w:p w:rsidR="00450D7A" w:rsidRDefault="00450D7A">
      <w:pPr>
        <w:tabs>
          <w:tab w:val="num" w:pos="426"/>
        </w:tabs>
        <w:ind w:left="426" w:hanging="426"/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Der Prüfbericht mit den Originalangeboten, sowie eine Vergleichsaufstellung über die Einheitspreise (der drei erstgereihten Angebote) ergehen an den Förderungsnehmer.</w:t>
      </w:r>
    </w:p>
    <w:p w:rsidR="00450D7A" w:rsidRDefault="00450D7A">
      <w:pPr>
        <w:tabs>
          <w:tab w:val="num" w:pos="426"/>
        </w:tabs>
        <w:ind w:left="426" w:hanging="426"/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Eine Ausfertigung des Prüfberichtes (ohne Vergleichsaufstellung über die Einheitspreise) ergeht an </w:t>
      </w:r>
      <w:r w:rsidR="008F50F6">
        <w:rPr>
          <w:rFonts w:ascii="Arial" w:hAnsi="Arial"/>
        </w:rPr>
        <w:t>die Abteilung 14</w:t>
      </w:r>
      <w:r>
        <w:rPr>
          <w:rFonts w:ascii="Arial" w:hAnsi="Arial"/>
        </w:rPr>
        <w:t>.</w:t>
      </w:r>
    </w:p>
    <w:p w:rsidR="00450D7A" w:rsidRDefault="00450D7A">
      <w:pPr>
        <w:tabs>
          <w:tab w:val="num" w:pos="426"/>
        </w:tabs>
        <w:ind w:left="426" w:hanging="426"/>
        <w:jc w:val="both"/>
        <w:rPr>
          <w:rFonts w:ascii="Arial" w:hAnsi="Arial"/>
        </w:rPr>
      </w:pPr>
    </w:p>
    <w:p w:rsidR="00450D7A" w:rsidRDefault="006F0583">
      <w:pPr>
        <w:numPr>
          <w:ilvl w:val="0"/>
          <w:numId w:val="5"/>
        </w:numPr>
        <w:tabs>
          <w:tab w:val="clear" w:pos="709"/>
          <w:tab w:val="num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Die ÖSTAT-Formblätter werden der </w:t>
      </w:r>
      <w:r w:rsidR="008F50F6">
        <w:rPr>
          <w:rFonts w:ascii="Arial" w:hAnsi="Arial"/>
        </w:rPr>
        <w:t xml:space="preserve">Abteilung 14 </w:t>
      </w:r>
      <w:r w:rsidR="0041011E">
        <w:rPr>
          <w:rFonts w:ascii="Arial" w:hAnsi="Arial"/>
        </w:rPr>
        <w:t>ü</w:t>
      </w:r>
      <w:r>
        <w:rPr>
          <w:rFonts w:ascii="Arial" w:hAnsi="Arial"/>
        </w:rPr>
        <w:t>bermittelt.</w:t>
      </w:r>
    </w:p>
    <w:p w:rsidR="00450D7A" w:rsidRDefault="00450D7A">
      <w:pPr>
        <w:ind w:left="567" w:hanging="567"/>
        <w:jc w:val="both"/>
        <w:rPr>
          <w:rFonts w:ascii="Arial" w:hAnsi="Arial"/>
          <w:sz w:val="10"/>
        </w:rPr>
      </w:pPr>
    </w:p>
    <w:p w:rsidR="00450D7A" w:rsidRDefault="00450D7A">
      <w:pPr>
        <w:ind w:left="567" w:hanging="567"/>
        <w:jc w:val="both"/>
        <w:rPr>
          <w:rFonts w:ascii="Arial" w:hAnsi="Arial"/>
          <w:sz w:val="10"/>
        </w:rPr>
      </w:pPr>
    </w:p>
    <w:p w:rsidR="00450D7A" w:rsidRDefault="00450D7A">
      <w:pPr>
        <w:ind w:left="567" w:hanging="567"/>
        <w:jc w:val="both"/>
        <w:rPr>
          <w:rFonts w:ascii="Arial" w:hAnsi="Arial"/>
          <w:sz w:val="10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50D7A">
        <w:trPr>
          <w:trHeight w:hRule="exact" w:val="397"/>
        </w:trPr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450D7A" w:rsidRDefault="00450D7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F058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</w:tr>
    </w:tbl>
    <w:p w:rsidR="00450D7A" w:rsidRDefault="006F0583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Seitens des Förderungsnehmers wird die Zuschlagserteilung getroffen und den Bietern unverzüglich zur Kenntnis gebracht, wobei dem für die Zuschlagserteilung vorgesehenen Bieter kein Rechtsanspruch auf Erteilung des Zuschlages zu vermitteln ist.</w:t>
      </w:r>
    </w:p>
    <w:p w:rsidR="00450D7A" w:rsidRDefault="006F0583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Durch die Einhaltung der gesetzlichen Stillhaltefrist ist eine Anfechtungsmöglichkeit durch die Bieter sicherzustellen.</w:t>
      </w:r>
    </w:p>
    <w:p w:rsidR="00450D7A" w:rsidRDefault="006F0583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Vor der Zuschlagserteilung ist ein entsprechender Beschluss herbeizuführen.</w:t>
      </w:r>
    </w:p>
    <w:p w:rsidR="00450D7A" w:rsidRDefault="006F0583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Die beabsichtigte Zuschlagserteilung sowie der vorgesehene Vergabetermin sind der </w:t>
      </w:r>
      <w:r w:rsidR="008F50F6">
        <w:rPr>
          <w:rFonts w:ascii="Arial" w:hAnsi="Arial"/>
        </w:rPr>
        <w:t>Abteilung 14</w:t>
      </w:r>
      <w:r>
        <w:rPr>
          <w:rFonts w:ascii="Arial" w:hAnsi="Arial"/>
        </w:rPr>
        <w:t xml:space="preserve"> vor dem Vergabetermin bekannt zu gegen.</w:t>
      </w:r>
    </w:p>
    <w:p w:rsidR="00450D7A" w:rsidRDefault="006F0583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Die Auftragserteilung erfolgt durch den Förderungsnehmer. Das Ergebnis wird in Schriftform festgehalten (Vergabeniederschrift und Bauvertrag gem. Mustertexten zur LSW 2003). Eine Abschrift der Vergabeniederschrift bzw. des Auftragsschreibens ergeht an die </w:t>
      </w:r>
      <w:r w:rsidR="008F50F6">
        <w:rPr>
          <w:rFonts w:ascii="Arial" w:hAnsi="Arial"/>
        </w:rPr>
        <w:t>Abteilung 14</w:t>
      </w:r>
      <w:r>
        <w:rPr>
          <w:rFonts w:ascii="Arial" w:hAnsi="Arial"/>
        </w:rPr>
        <w:t>.</w:t>
      </w:r>
    </w:p>
    <w:p w:rsidR="00450D7A" w:rsidRDefault="00450D7A">
      <w:pPr>
        <w:jc w:val="both"/>
        <w:rPr>
          <w:rFonts w:ascii="Arial" w:hAnsi="Arial"/>
        </w:rPr>
      </w:pPr>
    </w:p>
    <w:p w:rsidR="00450D7A" w:rsidRDefault="00450D7A">
      <w:pPr>
        <w:jc w:val="both"/>
        <w:rPr>
          <w:rFonts w:ascii="Arial" w:hAnsi="Arial"/>
        </w:rPr>
      </w:pPr>
    </w:p>
    <w:p w:rsidR="00450D7A" w:rsidRDefault="00450D7A">
      <w:pPr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p w:rsidR="00450D7A" w:rsidRDefault="00450D7A">
      <w:pPr>
        <w:ind w:left="567" w:hanging="567"/>
        <w:jc w:val="both"/>
        <w:rPr>
          <w:rFonts w:ascii="Arial" w:hAnsi="Arial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50D7A">
        <w:trPr>
          <w:trHeight w:hRule="exact" w:val="397"/>
        </w:trPr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450D7A" w:rsidRDefault="00450D7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058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 w:rsidR="006F058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450D7A" w:rsidRDefault="00450D7A">
      <w:pPr>
        <w:jc w:val="both"/>
        <w:rPr>
          <w:sz w:val="2"/>
        </w:rPr>
      </w:pPr>
    </w:p>
    <w:sectPr w:rsidR="00450D7A" w:rsidSect="00450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7A" w:rsidRDefault="006F0583">
      <w:r>
        <w:separator/>
      </w:r>
    </w:p>
  </w:endnote>
  <w:endnote w:type="continuationSeparator" w:id="0">
    <w:p w:rsidR="00450D7A" w:rsidRDefault="006F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CC" w:rsidRDefault="00BB41C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CC" w:rsidRDefault="00BB41C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CC" w:rsidRDefault="00BB41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7A" w:rsidRDefault="006F0583">
      <w:r>
        <w:separator/>
      </w:r>
    </w:p>
  </w:footnote>
  <w:footnote w:type="continuationSeparator" w:id="0">
    <w:p w:rsidR="00450D7A" w:rsidRDefault="006F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7A" w:rsidRDefault="00450D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F05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50D7A" w:rsidRDefault="00450D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7A" w:rsidRDefault="00450D7A">
    <w:pPr>
      <w:pStyle w:val="Kopfzeile"/>
      <w:framePr w:wrap="around" w:vAnchor="text" w:hAnchor="margin" w:xAlign="center" w:y="1"/>
      <w:rPr>
        <w:rStyle w:val="Seitenzahl"/>
        <w:rFonts w:ascii="Arial" w:hAnsi="Arial" w:cs="Arial"/>
        <w:sz w:val="16"/>
      </w:rPr>
    </w:pPr>
    <w:r>
      <w:rPr>
        <w:rStyle w:val="Seitenzahl"/>
        <w:rFonts w:ascii="Arial" w:hAnsi="Arial" w:cs="Arial"/>
        <w:sz w:val="16"/>
      </w:rPr>
      <w:fldChar w:fldCharType="begin"/>
    </w:r>
    <w:r w:rsidR="006F0583">
      <w:rPr>
        <w:rStyle w:val="Seitenzahl"/>
        <w:rFonts w:ascii="Arial" w:hAnsi="Arial" w:cs="Arial"/>
        <w:sz w:val="16"/>
      </w:rPr>
      <w:instrText xml:space="preserve">PAGE  </w:instrText>
    </w:r>
    <w:r>
      <w:rPr>
        <w:rStyle w:val="Seitenzahl"/>
        <w:rFonts w:ascii="Arial" w:hAnsi="Arial" w:cs="Arial"/>
        <w:sz w:val="16"/>
      </w:rPr>
      <w:fldChar w:fldCharType="separate"/>
    </w:r>
    <w:r w:rsidR="00BB41CC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</w:p>
  <w:p w:rsidR="00450D7A" w:rsidRDefault="006F0583">
    <w:pPr>
      <w:pStyle w:val="Kopfzeile"/>
    </w:pPr>
    <w:r>
      <w:rPr>
        <w:rFonts w:ascii="Arial" w:hAnsi="Arial"/>
        <w:sz w:val="16"/>
      </w:rPr>
      <w:t>LSW 200</w:t>
    </w:r>
    <w:r w:rsidR="00BB41CC">
      <w:rPr>
        <w:rFonts w:ascii="Arial" w:hAnsi="Arial"/>
        <w:sz w:val="16"/>
      </w:rPr>
      <w:t>6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Ablauf</w:t>
    </w:r>
    <w:r w:rsidR="00BB41CC">
      <w:rPr>
        <w:rFonts w:ascii="Arial" w:hAnsi="Arial"/>
        <w:sz w:val="16"/>
      </w:rPr>
      <w:t xml:space="preserve"> A</w:t>
    </w:r>
    <w:r>
      <w:rPr>
        <w:rFonts w:ascii="Arial" w:hAnsi="Arial"/>
        <w:sz w:val="16"/>
      </w:rPr>
      <w:t>usschreibung,</w:t>
    </w:r>
    <w:r w:rsidR="00BB41CC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Version </w:t>
    </w:r>
    <w:r w:rsidR="00BB41CC">
      <w:rPr>
        <w:rFonts w:ascii="Arial" w:hAnsi="Arial"/>
        <w:sz w:val="16"/>
      </w:rPr>
      <w:t>2013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7A" w:rsidRDefault="006F0583">
    <w:pPr>
      <w:pStyle w:val="Kopfzeile"/>
    </w:pPr>
    <w:r>
      <w:rPr>
        <w:rFonts w:ascii="Arial" w:hAnsi="Arial"/>
        <w:sz w:val="16"/>
      </w:rPr>
      <w:t>LSW 200</w:t>
    </w:r>
    <w:r w:rsidR="00BB41CC">
      <w:rPr>
        <w:rFonts w:ascii="Arial" w:hAnsi="Arial"/>
        <w:sz w:val="16"/>
      </w:rPr>
      <w:t>6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Ablauf</w:t>
    </w:r>
    <w:r w:rsidR="00BB41CC">
      <w:rPr>
        <w:rFonts w:ascii="Arial" w:hAnsi="Arial"/>
        <w:sz w:val="16"/>
      </w:rPr>
      <w:t xml:space="preserve"> A</w:t>
    </w:r>
    <w:r>
      <w:rPr>
        <w:rFonts w:ascii="Arial" w:hAnsi="Arial"/>
        <w:sz w:val="16"/>
      </w:rPr>
      <w:t xml:space="preserve">usschreibung, Version </w:t>
    </w:r>
    <w:r w:rsidR="00BB41CC">
      <w:rPr>
        <w:rFonts w:ascii="Arial" w:hAnsi="Arial"/>
        <w:sz w:val="16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00F5"/>
    <w:multiLevelType w:val="hybridMultilevel"/>
    <w:tmpl w:val="A5DE9D9C"/>
    <w:lvl w:ilvl="0" w:tplc="066467D2">
      <w:start w:val="1"/>
      <w:numFmt w:val="decimal"/>
      <w:lvlText w:val="%1."/>
      <w:lvlJc w:val="right"/>
      <w:pPr>
        <w:tabs>
          <w:tab w:val="num" w:pos="624"/>
        </w:tabs>
        <w:ind w:left="624" w:hanging="33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84CC3"/>
    <w:multiLevelType w:val="hybridMultilevel"/>
    <w:tmpl w:val="44841074"/>
    <w:lvl w:ilvl="0" w:tplc="4B903030">
      <w:start w:val="1"/>
      <w:numFmt w:val="decimal"/>
      <w:lvlText w:val="%1."/>
      <w:lvlJc w:val="right"/>
      <w:pPr>
        <w:tabs>
          <w:tab w:val="num" w:pos="709"/>
        </w:tabs>
        <w:ind w:left="709" w:hanging="421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814F4"/>
    <w:multiLevelType w:val="hybridMultilevel"/>
    <w:tmpl w:val="340E68A8"/>
    <w:lvl w:ilvl="0" w:tplc="0407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">
    <w:nsid w:val="76AE4048"/>
    <w:multiLevelType w:val="singleLevel"/>
    <w:tmpl w:val="4D7CF454"/>
    <w:lvl w:ilvl="0">
      <w:start w:val="8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4">
    <w:nsid w:val="76E75458"/>
    <w:multiLevelType w:val="hybridMultilevel"/>
    <w:tmpl w:val="B6705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583"/>
    <w:rsid w:val="0041011E"/>
    <w:rsid w:val="00450D7A"/>
    <w:rsid w:val="006F0583"/>
    <w:rsid w:val="008F50F6"/>
    <w:rsid w:val="00B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0D7A"/>
    <w:rPr>
      <w:sz w:val="24"/>
    </w:rPr>
  </w:style>
  <w:style w:type="paragraph" w:styleId="berschrift1">
    <w:name w:val="heading 1"/>
    <w:basedOn w:val="Standard"/>
    <w:next w:val="Standard"/>
    <w:qFormat/>
    <w:rsid w:val="00450D7A"/>
    <w:pPr>
      <w:keepNext/>
      <w:jc w:val="center"/>
      <w:outlineLvl w:val="0"/>
    </w:pPr>
    <w:rPr>
      <w:rFonts w:ascii="Arial" w:hAnsi="Arial"/>
      <w:b/>
      <w:bCs/>
      <w:sz w:val="36"/>
    </w:rPr>
  </w:style>
  <w:style w:type="paragraph" w:styleId="berschrift2">
    <w:name w:val="heading 2"/>
    <w:basedOn w:val="Standard"/>
    <w:next w:val="Standard"/>
    <w:qFormat/>
    <w:rsid w:val="00450D7A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450D7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450D7A"/>
    <w:pPr>
      <w:tabs>
        <w:tab w:val="center" w:pos="4819"/>
        <w:tab w:val="right" w:pos="9071"/>
      </w:tabs>
    </w:pPr>
  </w:style>
  <w:style w:type="paragraph" w:styleId="Textkrper-Zeileneinzug">
    <w:name w:val="Body Text Indent"/>
    <w:basedOn w:val="Standard"/>
    <w:semiHidden/>
    <w:rsid w:val="00450D7A"/>
    <w:pPr>
      <w:ind w:left="567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  <w:rsid w:val="00450D7A"/>
  </w:style>
  <w:style w:type="character" w:styleId="Hyperlink">
    <w:name w:val="Hyperlink"/>
    <w:basedOn w:val="Absatz-Standardschriftart"/>
    <w:semiHidden/>
    <w:rsid w:val="00450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feranzeiger.a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Ablaufschema einer Ausschreibung bis zur Vergabe</vt:lpstr>
    </vt:vector>
  </TitlesOfParts>
  <Company>Amt der Stmk. Landesregierung</Company>
  <LinksUpToDate>false</LinksUpToDate>
  <CharactersWithSpaces>3046</CharactersWithSpaces>
  <SharedDoc>false</SharedDoc>
  <HLinks>
    <vt:vector size="6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http://www.lieferanzeiger.at/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Ablaufschema einer Ausschreibung bis zur Vergabe</dc:title>
  <dc:subject/>
  <dc:creator>Standardinstallation für WINDOWS</dc:creator>
  <cp:keywords/>
  <dc:description/>
  <cp:lastModifiedBy>Landesstandard</cp:lastModifiedBy>
  <cp:revision>5</cp:revision>
  <cp:lastPrinted>2002-12-12T08:13:00Z</cp:lastPrinted>
  <dcterms:created xsi:type="dcterms:W3CDTF">2012-08-02T06:16:00Z</dcterms:created>
  <dcterms:modified xsi:type="dcterms:W3CDTF">2013-12-04T08:54:00Z</dcterms:modified>
</cp:coreProperties>
</file>