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D40B" w14:textId="77777777" w:rsidR="00DC75DE" w:rsidRPr="000A1FF5" w:rsidRDefault="00DC75DE" w:rsidP="00DC75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 w:cs="Arial"/>
          <w:b/>
          <w:sz w:val="16"/>
          <w:szCs w:val="16"/>
          <w:lang w:val="de-DE" w:eastAsia="de-DE"/>
        </w:rPr>
      </w:pPr>
    </w:p>
    <w:p w14:paraId="053AFBB9" w14:textId="630563F7" w:rsidR="00DC75DE" w:rsidRPr="00617209" w:rsidRDefault="00DC75DE" w:rsidP="00DC75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28"/>
          <w:lang w:val="de-DE" w:eastAsia="de-DE"/>
        </w:rPr>
      </w:pPr>
      <w:r w:rsidRPr="00617209">
        <w:rPr>
          <w:rFonts w:ascii="Verdana" w:eastAsia="Times New Roman" w:hAnsi="Verdana" w:cs="Arial"/>
          <w:b/>
          <w:sz w:val="28"/>
          <w:szCs w:val="28"/>
          <w:lang w:val="de-DE" w:eastAsia="de-DE"/>
        </w:rPr>
        <w:t xml:space="preserve">Grundunterweisung für Betreiber </w:t>
      </w:r>
      <w:r w:rsidRPr="00617209">
        <w:rPr>
          <w:rFonts w:ascii="Verdana" w:eastAsia="Times New Roman" w:hAnsi="Verdana" w:cs="Arial"/>
          <w:b/>
          <w:sz w:val="28"/>
          <w:szCs w:val="28"/>
          <w:lang w:val="de-DE" w:eastAsia="de-DE"/>
        </w:rPr>
        <w:br/>
        <w:t>von kleinen Wasserversorgungsanlagen</w:t>
      </w:r>
      <w:r w:rsidRPr="00617209">
        <w:rPr>
          <w:rFonts w:ascii="Verdana" w:eastAsia="Times New Roman" w:hAnsi="Verdana" w:cs="Arial"/>
          <w:b/>
          <w:sz w:val="28"/>
          <w:szCs w:val="28"/>
          <w:vertAlign w:val="superscript"/>
          <w:lang w:val="de-DE" w:eastAsia="de-DE"/>
        </w:rPr>
        <w:footnoteReference w:id="1"/>
      </w:r>
      <w:r w:rsidRPr="00617209">
        <w:rPr>
          <w:rFonts w:ascii="Verdana" w:eastAsia="Times New Roman" w:hAnsi="Verdana" w:cs="Arial"/>
          <w:b/>
          <w:sz w:val="28"/>
          <w:szCs w:val="28"/>
          <w:lang w:val="de-DE" w:eastAsia="de-DE"/>
        </w:rPr>
        <w:t xml:space="preserve"> </w:t>
      </w:r>
    </w:p>
    <w:p w14:paraId="42D79C5B" w14:textId="77777777" w:rsidR="00DC75DE" w:rsidRPr="00571FB6" w:rsidRDefault="00DC75DE" w:rsidP="00DC75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64963915" w14:textId="77777777" w:rsidR="00DC75DE" w:rsidRPr="000629AF" w:rsidRDefault="00DC75DE" w:rsidP="007A063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18"/>
          <w:lang w:eastAsia="de-DE"/>
        </w:rPr>
      </w:pP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 xml:space="preserve">Eine fachgerechte Betreuung und Wartung der Wasserversorgungsanlage ist in der Trinkwasserverordnung gefordert </w:t>
      </w:r>
      <w:r>
        <w:rPr>
          <w:rFonts w:ascii="Verdana" w:eastAsia="Times New Roman" w:hAnsi="Verdana" w:cs="Times New Roman"/>
          <w:sz w:val="20"/>
          <w:szCs w:val="18"/>
          <w:lang w:eastAsia="de-DE"/>
        </w:rPr>
        <w:t xml:space="preserve">und vor allem </w:t>
      </w: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 xml:space="preserve">im Interesse der Wassernutzer. </w:t>
      </w:r>
    </w:p>
    <w:p w14:paraId="047B69B9" w14:textId="5C91452E" w:rsidR="00C6562B" w:rsidRPr="00C6562B" w:rsidRDefault="00DC75DE" w:rsidP="00C6562B">
      <w:pPr>
        <w:spacing w:after="240"/>
        <w:jc w:val="both"/>
        <w:rPr>
          <w:rFonts w:ascii="Verdana" w:eastAsia="Times New Roman" w:hAnsi="Verdana" w:cs="Times New Roman"/>
          <w:sz w:val="20"/>
          <w:szCs w:val="18"/>
          <w:lang w:eastAsia="de-DE"/>
        </w:rPr>
      </w:pP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>Durch die</w:t>
      </w:r>
      <w:r>
        <w:rPr>
          <w:rFonts w:ascii="Verdana" w:eastAsia="Times New Roman" w:hAnsi="Verdana" w:cs="Times New Roman"/>
          <w:sz w:val="20"/>
          <w:szCs w:val="18"/>
          <w:lang w:eastAsia="de-DE"/>
        </w:rPr>
        <w:t xml:space="preserve"> eintägige</w:t>
      </w: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 xml:space="preserve"> Grundunterweisung </w:t>
      </w:r>
      <w:r w:rsidR="00FE13A0">
        <w:rPr>
          <w:rFonts w:ascii="Verdana" w:eastAsia="Times New Roman" w:hAnsi="Verdana" w:cs="Times New Roman"/>
          <w:sz w:val="20"/>
          <w:szCs w:val="18"/>
          <w:lang w:eastAsia="de-DE"/>
        </w:rPr>
        <w:t>werden</w:t>
      </w: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 xml:space="preserve"> die Verantwortlichen von kleinen Wasser</w:t>
      </w:r>
      <w:r>
        <w:rPr>
          <w:rFonts w:ascii="Verdana" w:eastAsia="Times New Roman" w:hAnsi="Verdana" w:cs="Times New Roman"/>
          <w:sz w:val="20"/>
          <w:szCs w:val="18"/>
          <w:lang w:eastAsia="de-DE"/>
        </w:rPr>
        <w:t>-</w:t>
      </w: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 xml:space="preserve">versorgungsanlagen </w:t>
      </w:r>
      <w:r>
        <w:rPr>
          <w:rFonts w:ascii="Verdana" w:eastAsia="Times New Roman" w:hAnsi="Verdana" w:cs="Times New Roman"/>
          <w:sz w:val="20"/>
          <w:szCs w:val="18"/>
          <w:lang w:eastAsia="de-DE"/>
        </w:rPr>
        <w:t>geschult</w:t>
      </w: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 xml:space="preserve">, </w:t>
      </w:r>
      <w:r w:rsidR="00FE13A0">
        <w:rPr>
          <w:rFonts w:ascii="Verdana" w:eastAsia="Times New Roman" w:hAnsi="Verdana" w:cs="Times New Roman"/>
          <w:sz w:val="20"/>
          <w:szCs w:val="18"/>
          <w:lang w:eastAsia="de-DE"/>
        </w:rPr>
        <w:t xml:space="preserve">um </w:t>
      </w: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 xml:space="preserve">die Trinkwasserversorgung in der notwendigen Qualität sicher zu stellen. </w:t>
      </w:r>
      <w:r>
        <w:rPr>
          <w:rFonts w:ascii="Verdana" w:eastAsia="Times New Roman" w:hAnsi="Verdana" w:cs="Times New Roman"/>
          <w:sz w:val="20"/>
          <w:szCs w:val="18"/>
          <w:lang w:eastAsia="de-DE"/>
        </w:rPr>
        <w:t>Es</w:t>
      </w: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 xml:space="preserve"> werden grundlegende Informationen über rechtliche, hygienische und bautechnische Aspekte vermittelt.</w:t>
      </w:r>
      <w:r>
        <w:rPr>
          <w:rFonts w:ascii="Verdana" w:eastAsia="Times New Roman" w:hAnsi="Verdana" w:cs="Times New Roman"/>
          <w:sz w:val="20"/>
          <w:szCs w:val="18"/>
          <w:lang w:eastAsia="de-DE"/>
        </w:rPr>
        <w:t xml:space="preserve"> </w:t>
      </w: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 xml:space="preserve">Das Zertifikat gilt als Schulungsnachweis </w:t>
      </w:r>
      <w:r w:rsidR="00FE13A0">
        <w:rPr>
          <w:rFonts w:ascii="Verdana" w:eastAsia="Times New Roman" w:hAnsi="Verdana" w:cs="Times New Roman"/>
          <w:sz w:val="20"/>
          <w:szCs w:val="18"/>
          <w:lang w:eastAsia="de-DE"/>
        </w:rPr>
        <w:t>für die</w:t>
      </w:r>
      <w:r w:rsidRPr="000629AF">
        <w:rPr>
          <w:rFonts w:ascii="Verdana" w:eastAsia="Times New Roman" w:hAnsi="Verdana" w:cs="Times New Roman"/>
          <w:sz w:val="20"/>
          <w:szCs w:val="18"/>
          <w:lang w:eastAsia="de-DE"/>
        </w:rPr>
        <w:t xml:space="preserve"> Behörde.</w:t>
      </w: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9781"/>
      </w:tblGrid>
      <w:tr w:rsidR="00617209" w:rsidRPr="00617209" w14:paraId="31D8A79A" w14:textId="77777777" w:rsidTr="00FD0A77">
        <w:trPr>
          <w:trHeight w:val="631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CE1C9C" w14:textId="48CE156F" w:rsidR="006B31BB" w:rsidRPr="00F237E0" w:rsidRDefault="00747389" w:rsidP="0035411D">
            <w:pPr>
              <w:pStyle w:val="Uhr"/>
              <w:tabs>
                <w:tab w:val="clear" w:pos="1866"/>
                <w:tab w:val="left" w:pos="142"/>
              </w:tabs>
              <w:spacing w:before="60" w:after="60"/>
              <w:ind w:left="2126" w:hanging="2098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237E0">
              <w:rPr>
                <w:rFonts w:ascii="Verdana" w:hAnsi="Verdana"/>
                <w:b/>
                <w:sz w:val="28"/>
                <w:szCs w:val="28"/>
              </w:rPr>
              <w:t>Freitag</w:t>
            </w:r>
            <w:r w:rsidR="00E777D2" w:rsidRPr="00F237E0">
              <w:rPr>
                <w:rFonts w:ascii="Verdana" w:hAnsi="Verdana"/>
                <w:b/>
                <w:sz w:val="28"/>
                <w:szCs w:val="28"/>
              </w:rPr>
              <w:t xml:space="preserve">, </w:t>
            </w:r>
            <w:r w:rsidR="00633512">
              <w:rPr>
                <w:rFonts w:ascii="Verdana" w:hAnsi="Verdana"/>
                <w:b/>
                <w:sz w:val="28"/>
                <w:szCs w:val="28"/>
              </w:rPr>
              <w:t>1</w:t>
            </w:r>
            <w:r w:rsidR="00C94278">
              <w:rPr>
                <w:rFonts w:ascii="Verdana" w:hAnsi="Verdana"/>
                <w:b/>
                <w:sz w:val="28"/>
                <w:szCs w:val="28"/>
              </w:rPr>
              <w:t>2</w:t>
            </w:r>
            <w:r w:rsidR="00077DFA" w:rsidRPr="00D4548C">
              <w:rPr>
                <w:rFonts w:ascii="Verdana" w:hAnsi="Verdana"/>
                <w:b/>
                <w:sz w:val="28"/>
                <w:szCs w:val="28"/>
              </w:rPr>
              <w:t>. Juni</w:t>
            </w:r>
            <w:r w:rsidR="00BF5D73" w:rsidRPr="00D4548C">
              <w:rPr>
                <w:rFonts w:ascii="Verdana" w:hAnsi="Verdana"/>
                <w:b/>
                <w:sz w:val="28"/>
                <w:szCs w:val="28"/>
              </w:rPr>
              <w:t xml:space="preserve"> 20</w:t>
            </w:r>
            <w:r w:rsidR="00953CD7" w:rsidRPr="00D4548C">
              <w:rPr>
                <w:rFonts w:ascii="Verdana" w:hAnsi="Verdana"/>
                <w:b/>
                <w:sz w:val="28"/>
                <w:szCs w:val="28"/>
              </w:rPr>
              <w:t>2</w:t>
            </w:r>
            <w:r w:rsidR="00633512">
              <w:rPr>
                <w:rFonts w:ascii="Verdana" w:hAnsi="Verdana"/>
                <w:b/>
                <w:sz w:val="28"/>
                <w:szCs w:val="28"/>
              </w:rPr>
              <w:t>5</w:t>
            </w:r>
            <w:r w:rsidR="00A862B2" w:rsidRPr="00D4548C">
              <w:rPr>
                <w:rFonts w:ascii="Verdana" w:hAnsi="Verdana"/>
                <w:b/>
                <w:sz w:val="28"/>
                <w:szCs w:val="28"/>
              </w:rPr>
              <w:t xml:space="preserve">, </w:t>
            </w:r>
            <w:r w:rsidR="006B31BB" w:rsidRPr="00D4548C">
              <w:rPr>
                <w:rFonts w:ascii="Verdana" w:hAnsi="Verdana"/>
                <w:b/>
                <w:sz w:val="28"/>
                <w:szCs w:val="28"/>
              </w:rPr>
              <w:t>9</w:t>
            </w:r>
            <w:r w:rsidR="00AE647B" w:rsidRPr="00D4548C">
              <w:rPr>
                <w:rFonts w:ascii="Verdana" w:hAnsi="Verdana"/>
                <w:b/>
                <w:sz w:val="28"/>
                <w:szCs w:val="28"/>
              </w:rPr>
              <w:t>.</w:t>
            </w:r>
            <w:r w:rsidR="007B7FA1" w:rsidRPr="00D4548C">
              <w:rPr>
                <w:rFonts w:ascii="Verdana" w:hAnsi="Verdana"/>
                <w:b/>
                <w:sz w:val="28"/>
                <w:szCs w:val="28"/>
              </w:rPr>
              <w:t>0</w:t>
            </w:r>
            <w:r w:rsidR="006B31BB" w:rsidRPr="00D4548C">
              <w:rPr>
                <w:rFonts w:ascii="Verdana" w:hAnsi="Verdana"/>
                <w:b/>
                <w:sz w:val="28"/>
                <w:szCs w:val="28"/>
              </w:rPr>
              <w:t xml:space="preserve">0 – </w:t>
            </w:r>
            <w:r w:rsidR="00B83DA3" w:rsidRPr="00D4548C">
              <w:rPr>
                <w:rFonts w:ascii="Verdana" w:hAnsi="Verdana"/>
                <w:b/>
                <w:sz w:val="28"/>
                <w:szCs w:val="28"/>
              </w:rPr>
              <w:t>1</w:t>
            </w:r>
            <w:r w:rsidR="007B7FA1" w:rsidRPr="00D4548C">
              <w:rPr>
                <w:rFonts w:ascii="Verdana" w:hAnsi="Verdana"/>
                <w:b/>
                <w:sz w:val="28"/>
                <w:szCs w:val="28"/>
              </w:rPr>
              <w:t>4</w:t>
            </w:r>
            <w:r w:rsidR="00AE647B" w:rsidRPr="00D4548C">
              <w:rPr>
                <w:rFonts w:ascii="Verdana" w:hAnsi="Verdana"/>
                <w:b/>
                <w:sz w:val="28"/>
                <w:szCs w:val="28"/>
              </w:rPr>
              <w:t>.</w:t>
            </w:r>
            <w:r w:rsidR="00B83DA3" w:rsidRPr="00D4548C">
              <w:rPr>
                <w:rFonts w:ascii="Verdana" w:hAnsi="Verdana"/>
                <w:b/>
                <w:sz w:val="28"/>
                <w:szCs w:val="28"/>
              </w:rPr>
              <w:t>0</w:t>
            </w:r>
            <w:r w:rsidR="006B31BB" w:rsidRPr="00D4548C">
              <w:rPr>
                <w:rFonts w:ascii="Verdana" w:hAnsi="Verdana"/>
                <w:b/>
                <w:sz w:val="28"/>
                <w:szCs w:val="28"/>
              </w:rPr>
              <w:t>0 Uhr</w:t>
            </w:r>
          </w:p>
          <w:p w14:paraId="302C62D7" w14:textId="5302E928" w:rsidR="00617209" w:rsidRPr="00617209" w:rsidRDefault="00185117" w:rsidP="0035411D">
            <w:pPr>
              <w:tabs>
                <w:tab w:val="left" w:pos="142"/>
              </w:tabs>
              <w:spacing w:before="60" w:after="60" w:line="240" w:lineRule="auto"/>
              <w:ind w:left="2126" w:right="170" w:hanging="2098"/>
              <w:jc w:val="center"/>
              <w:rPr>
                <w:rFonts w:ascii="Verdana" w:eastAsia="Times New Roman" w:hAnsi="Verdana" w:cs="Times New Roman"/>
                <w:b/>
                <w:smallCaps/>
                <w:lang w:eastAsia="de-DE"/>
              </w:rPr>
            </w:pPr>
            <w:r w:rsidRPr="00F237E0">
              <w:rPr>
                <w:rFonts w:ascii="Verdana" w:eastAsia="Times New Roman" w:hAnsi="Verdana" w:cs="Times New Roman"/>
                <w:b/>
                <w:smallCaps/>
                <w:sz w:val="28"/>
                <w:szCs w:val="28"/>
                <w:lang w:eastAsia="de-DE"/>
              </w:rPr>
              <w:t>B</w:t>
            </w:r>
            <w:r w:rsidR="00C06E9E" w:rsidRPr="00F237E0">
              <w:rPr>
                <w:rFonts w:ascii="Verdana" w:eastAsia="Times New Roman" w:hAnsi="Verdana" w:cs="Times New Roman"/>
                <w:b/>
                <w:smallCaps/>
                <w:sz w:val="28"/>
                <w:szCs w:val="28"/>
                <w:lang w:eastAsia="de-DE"/>
              </w:rPr>
              <w:t>auakademie Übelbach</w:t>
            </w:r>
          </w:p>
        </w:tc>
      </w:tr>
      <w:tr w:rsidR="00617209" w:rsidRPr="00617209" w14:paraId="777F3A38" w14:textId="77777777" w:rsidTr="00FD0A77">
        <w:trPr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27C16" w14:textId="77777777" w:rsidR="00617209" w:rsidRPr="00617209" w:rsidRDefault="00617209" w:rsidP="00CC6EB5">
            <w:pPr>
              <w:tabs>
                <w:tab w:val="left" w:pos="142"/>
              </w:tabs>
              <w:spacing w:before="60" w:after="0" w:line="240" w:lineRule="auto"/>
              <w:ind w:left="2126" w:right="170" w:hanging="2098"/>
              <w:jc w:val="center"/>
              <w:rPr>
                <w:rFonts w:ascii="Verdana" w:eastAsia="Times New Roman" w:hAnsi="Verdana" w:cs="Times New Roman"/>
                <w:b/>
                <w:smallCaps/>
                <w:sz w:val="28"/>
                <w:szCs w:val="28"/>
                <w:lang w:eastAsia="de-DE"/>
              </w:rPr>
            </w:pPr>
            <w:r w:rsidRPr="00617209">
              <w:rPr>
                <w:rFonts w:ascii="Verdana" w:eastAsia="Times New Roman" w:hAnsi="Verdana" w:cs="Times New Roman"/>
                <w:b/>
                <w:smallCaps/>
                <w:sz w:val="28"/>
                <w:szCs w:val="28"/>
                <w:lang w:eastAsia="de-DE"/>
              </w:rPr>
              <w:t>Programm</w:t>
            </w:r>
          </w:p>
        </w:tc>
      </w:tr>
      <w:tr w:rsidR="00617209" w:rsidRPr="00617209" w14:paraId="445D978B" w14:textId="77777777" w:rsidTr="00FD0A77">
        <w:trPr>
          <w:trHeight w:val="4265"/>
          <w:jc w:val="center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B90" w14:textId="25163527" w:rsidR="00617209" w:rsidRDefault="00617209" w:rsidP="00EA5F17">
            <w:pPr>
              <w:tabs>
                <w:tab w:val="left" w:pos="142"/>
              </w:tabs>
              <w:spacing w:before="120" w:after="0" w:line="240" w:lineRule="auto"/>
              <w:ind w:left="2126" w:right="170" w:hanging="2098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9</w:t>
            </w:r>
            <w:r w:rsidR="00412918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.</w:t>
            </w:r>
            <w:r w:rsidR="00160627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0</w:t>
            </w: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0</w:t>
            </w: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ab/>
              <w:t>Einleitung – Begrüßung</w:t>
            </w:r>
          </w:p>
          <w:p w14:paraId="7DA2E994" w14:textId="061D5C78" w:rsidR="00F048D4" w:rsidRPr="00CC6EB5" w:rsidRDefault="009D5156" w:rsidP="00CC6EB5">
            <w:pPr>
              <w:tabs>
                <w:tab w:val="left" w:pos="2127"/>
              </w:tabs>
              <w:spacing w:after="0" w:line="240" w:lineRule="auto"/>
              <w:ind w:left="2126" w:right="170" w:hanging="2098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806548" w:rsidRPr="00AE3A8B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Allgemeines zur Wasserwirtschaft in der </w:t>
            </w:r>
            <w:r w:rsidR="00E748F8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Steiermark</w:t>
            </w:r>
          </w:p>
          <w:p w14:paraId="26364205" w14:textId="40E0BE6E" w:rsidR="00617209" w:rsidRPr="0078296B" w:rsidRDefault="00617209" w:rsidP="006D788F">
            <w:pPr>
              <w:tabs>
                <w:tab w:val="left" w:pos="142"/>
              </w:tabs>
              <w:spacing w:before="120" w:after="0" w:line="240" w:lineRule="auto"/>
              <w:ind w:left="2126" w:right="170" w:hanging="2098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9</w:t>
            </w:r>
            <w:r w:rsidR="008E76DF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.</w:t>
            </w:r>
            <w:r w:rsidR="00160627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1</w:t>
            </w: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5</w:t>
            </w: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ab/>
              <w:t xml:space="preserve">Rechtliche Grundlagen </w:t>
            </w:r>
          </w:p>
          <w:p w14:paraId="58B5A121" w14:textId="5B792092" w:rsidR="00057705" w:rsidRPr="00AE3A8B" w:rsidRDefault="00617209" w:rsidP="00AE3A8B">
            <w:pPr>
              <w:tabs>
                <w:tab w:val="left" w:pos="2127"/>
              </w:tabs>
              <w:spacing w:after="0" w:line="240" w:lineRule="auto"/>
              <w:ind w:left="2126" w:right="170" w:hanging="2098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ab/>
            </w:r>
            <w:r w:rsidRPr="0078296B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Wasserrechtsgesetz, Lebensmittelsicherheits- und Verbraucher</w:t>
            </w:r>
            <w:r w:rsidRPr="0078296B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softHyphen/>
              <w:t>schutzgesetz in Verbindung mit der Trinkwasserverordnung</w:t>
            </w:r>
          </w:p>
          <w:p w14:paraId="2DF7E8D0" w14:textId="02476B56" w:rsidR="00186C21" w:rsidRPr="0078296B" w:rsidRDefault="00382992" w:rsidP="00DC0EA7">
            <w:pPr>
              <w:keepNext/>
              <w:keepLines/>
              <w:spacing w:after="0" w:line="240" w:lineRule="atLeast"/>
              <w:ind w:left="2126" w:right="-142"/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Mag.</w:t>
            </w:r>
            <w:r w:rsidRPr="00382992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vertAlign w:val="superscript"/>
                <w:lang w:val="de-DE" w:eastAsia="de-DE"/>
              </w:rPr>
              <w:t>a</w:t>
            </w:r>
            <w:proofErr w:type="spellEnd"/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 xml:space="preserve"> </w:t>
            </w:r>
            <w:r w:rsidR="000A5DF1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 xml:space="preserve">Regina </w:t>
            </w:r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Strempf</w:t>
            </w:r>
            <w:r w:rsidR="007E70B6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l</w:t>
            </w:r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-Neuhold</w:t>
            </w:r>
            <w:r w:rsidR="00185117"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,</w:t>
            </w:r>
            <w:r w:rsidR="00186C21"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 xml:space="preserve"> Wasserrechtsreferen</w:t>
            </w:r>
            <w:r w:rsidR="007B124B"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t</w:t>
            </w:r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i</w:t>
            </w:r>
            <w:r w:rsidR="00405EAF"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n</w:t>
            </w:r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 xml:space="preserve"> der </w:t>
            </w:r>
            <w:proofErr w:type="gramStart"/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BH Graz</w:t>
            </w:r>
            <w:proofErr w:type="gramEnd"/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-Umgebung</w:t>
            </w:r>
          </w:p>
          <w:p w14:paraId="0DD16920" w14:textId="72C61F24" w:rsidR="00617209" w:rsidRDefault="00617209" w:rsidP="006D788F">
            <w:pPr>
              <w:tabs>
                <w:tab w:val="left" w:pos="142"/>
              </w:tabs>
              <w:spacing w:before="120" w:after="0" w:line="240" w:lineRule="auto"/>
              <w:ind w:left="2126" w:right="170" w:hanging="2098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de-DE"/>
              </w:rPr>
              <w:t>10</w:t>
            </w:r>
            <w:r w:rsidR="008E76DF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de-DE"/>
              </w:rPr>
              <w:t>.</w:t>
            </w:r>
            <w:r w:rsidR="0016062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de-DE"/>
              </w:rPr>
              <w:t>30</w:t>
            </w: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ab/>
              <w:t xml:space="preserve">Hygienische Aspekte – Grundlagen und Anforderungen </w:t>
            </w:r>
          </w:p>
          <w:p w14:paraId="35BAB616" w14:textId="28E42111" w:rsidR="00617209" w:rsidRPr="0078296B" w:rsidRDefault="00292A2D" w:rsidP="00DC0EA7">
            <w:pPr>
              <w:keepNext/>
              <w:keepLines/>
              <w:spacing w:after="0" w:line="240" w:lineRule="atLeast"/>
              <w:ind w:left="2126" w:right="-142"/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</w:pPr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 xml:space="preserve">Stefanie Horvath B.Sc. </w:t>
            </w:r>
            <w:proofErr w:type="spellStart"/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M.Sc</w:t>
            </w:r>
            <w:proofErr w:type="spellEnd"/>
            <w:r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.</w:t>
            </w:r>
            <w:r w:rsidR="00A45B89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, Wasser</w:t>
            </w:r>
            <w:r w:rsidR="00A073C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labor</w:t>
            </w:r>
            <w:r w:rsidR="00A45B89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 xml:space="preserve"> Holding Graz </w:t>
            </w:r>
            <w:r w:rsidR="00A115A0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GmbH</w:t>
            </w:r>
          </w:p>
          <w:p w14:paraId="74B1D259" w14:textId="5A966296" w:rsidR="00782581" w:rsidRDefault="00617209" w:rsidP="00DC0EA7">
            <w:pPr>
              <w:tabs>
                <w:tab w:val="left" w:pos="142"/>
              </w:tabs>
              <w:spacing w:before="120" w:after="0" w:line="240" w:lineRule="auto"/>
              <w:ind w:left="2126" w:right="170" w:hanging="2098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1</w:t>
            </w:r>
            <w:r w:rsidR="00160627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1</w:t>
            </w:r>
            <w:r w:rsidR="006B3DBE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.</w:t>
            </w:r>
            <w:r w:rsidR="00160627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45</w:t>
            </w: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ab/>
            </w:r>
            <w:r w:rsidR="00782581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Errichtung und Betrieb von kleinen</w:t>
            </w:r>
            <w:r w:rsidR="000A1FF5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 </w:t>
            </w:r>
            <w:r w:rsidR="00782581"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Wasserversorgungsanlagen</w:t>
            </w:r>
          </w:p>
          <w:p w14:paraId="23EFDD0D" w14:textId="550F18C9" w:rsidR="00617209" w:rsidRPr="00782581" w:rsidRDefault="00617209" w:rsidP="00DC0EA7">
            <w:pPr>
              <w:tabs>
                <w:tab w:val="left" w:pos="2127"/>
              </w:tabs>
              <w:spacing w:after="0" w:line="240" w:lineRule="auto"/>
              <w:ind w:left="2126" w:right="170" w:firstLine="1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782581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Bautechnische Aspekte</w:t>
            </w:r>
            <w:r w:rsidR="00782581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, </w:t>
            </w:r>
            <w:r w:rsidR="00C60DA7" w:rsidRPr="00782581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Maßnahmen zum Schutz von Wasservorkommen</w:t>
            </w:r>
            <w:r w:rsidR="00782581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, Maßnahmen für den ordnungsgemäßen Betrieb</w:t>
            </w:r>
          </w:p>
          <w:p w14:paraId="43FFF0C6" w14:textId="0B7358D5" w:rsidR="00617209" w:rsidRPr="0078296B" w:rsidRDefault="00F13901" w:rsidP="00DC0EA7">
            <w:pPr>
              <w:keepNext/>
              <w:keepLines/>
              <w:spacing w:after="0" w:line="240" w:lineRule="atLeast"/>
              <w:ind w:left="2126" w:right="-142"/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</w:pPr>
            <w:r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eastAsia="de-DE"/>
              </w:rPr>
              <w:t xml:space="preserve">Ing. </w:t>
            </w:r>
            <w:r w:rsidR="00AC69EC"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eastAsia="de-DE"/>
              </w:rPr>
              <w:t xml:space="preserve">Mario </w:t>
            </w:r>
            <w:r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Kohl</w:t>
            </w:r>
            <w:r w:rsidR="00227675"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,</w:t>
            </w:r>
            <w:r w:rsidR="00617209"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 xml:space="preserve"> Kohl </w:t>
            </w:r>
            <w:proofErr w:type="spellStart"/>
            <w:r w:rsidR="00617209"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Ges.m.b.H</w:t>
            </w:r>
            <w:proofErr w:type="spellEnd"/>
            <w:r w:rsidR="00617209" w:rsidRPr="00294C77">
              <w:rPr>
                <w:rFonts w:ascii="Verdana" w:eastAsia="Times New Roman" w:hAnsi="Verdana" w:cs="Times New Roman"/>
                <w:bCs/>
                <w:i/>
                <w:kern w:val="28"/>
                <w:sz w:val="20"/>
                <w:szCs w:val="20"/>
                <w:lang w:val="de-DE" w:eastAsia="de-DE"/>
              </w:rPr>
              <w:t>.</w:t>
            </w:r>
          </w:p>
          <w:p w14:paraId="4CC4A67C" w14:textId="69029176" w:rsidR="00617209" w:rsidRDefault="00160627" w:rsidP="00DC0EA7">
            <w:pPr>
              <w:tabs>
                <w:tab w:val="left" w:pos="142"/>
              </w:tabs>
              <w:spacing w:before="120" w:after="0" w:line="240" w:lineRule="auto"/>
              <w:ind w:left="2126" w:right="170" w:hanging="2098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13</w:t>
            </w:r>
            <w:r w:rsidR="006B3DBE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.0</w:t>
            </w:r>
            <w:r w:rsidR="00617209"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0</w:t>
            </w:r>
            <w:r w:rsidR="00617209"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ab/>
            </w:r>
            <w:r w:rsidR="0031467C">
              <w:rPr>
                <w:rFonts w:ascii="Verdana" w:hAnsi="Verdana"/>
                <w:b/>
                <w:bCs/>
                <w:sz w:val="20"/>
                <w:szCs w:val="20"/>
              </w:rPr>
              <w:t>Anforderungen an die Eigenüberwachung bei kleinen Wasserversorgungsanlagen</w:t>
            </w:r>
          </w:p>
          <w:p w14:paraId="56B25A9C" w14:textId="01B6A6AB" w:rsidR="0031467C" w:rsidRDefault="0031467C" w:rsidP="0031467C">
            <w:pPr>
              <w:tabs>
                <w:tab w:val="left" w:pos="2127"/>
              </w:tabs>
              <w:spacing w:after="0" w:line="240" w:lineRule="auto"/>
              <w:ind w:left="2126" w:right="170" w:firstLine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31467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Betriebs- und Wartungshandbuch, Inspektions- und Wartungsplan</w:t>
            </w:r>
          </w:p>
          <w:p w14:paraId="2F33B29F" w14:textId="2C1E87E0" w:rsidR="00617209" w:rsidRDefault="00FD74ED" w:rsidP="00C4561B">
            <w:pPr>
              <w:keepNext/>
              <w:keepLines/>
              <w:spacing w:after="120" w:line="240" w:lineRule="atLeast"/>
              <w:ind w:left="2126" w:right="-142"/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</w:pPr>
            <w:r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>Ing</w:t>
            </w:r>
            <w:r w:rsidR="003E0421" w:rsidRPr="007E7A22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>.</w:t>
            </w:r>
            <w:r w:rsidR="003E0421" w:rsidRPr="007E7A22">
              <w:rPr>
                <w:rFonts w:ascii="Verdana" w:eastAsia="Times New Roman" w:hAnsi="Verdana" w:cs="Arial"/>
                <w:i/>
                <w:sz w:val="20"/>
                <w:szCs w:val="20"/>
                <w:vertAlign w:val="superscript"/>
                <w:lang w:val="de-DE" w:eastAsia="de-DE"/>
              </w:rPr>
              <w:t>in</w:t>
            </w:r>
            <w:r w:rsidR="003E0421" w:rsidRPr="007E7A22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>Daniela List</w:t>
            </w:r>
            <w:r w:rsidR="00C60DA7" w:rsidRPr="007E7A22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 xml:space="preserve">, </w:t>
            </w:r>
            <w:r w:rsidR="00C60DA7" w:rsidRPr="007E7A22">
              <w:rPr>
                <w:rFonts w:ascii="Verdana" w:eastAsia="Times New Roman" w:hAnsi="Verdana" w:cs="Arial"/>
                <w:sz w:val="20"/>
                <w:szCs w:val="20"/>
                <w:lang w:val="de-DE" w:eastAsia="de-DE"/>
              </w:rPr>
              <w:t>eco</w:t>
            </w:r>
            <w:r w:rsidR="00C60DA7" w:rsidRPr="007E7A22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>versum</w:t>
            </w:r>
          </w:p>
          <w:p w14:paraId="3D035841" w14:textId="74824AF8" w:rsidR="00617209" w:rsidRPr="004F70A5" w:rsidRDefault="00617209" w:rsidP="004F70A5">
            <w:pPr>
              <w:tabs>
                <w:tab w:val="left" w:pos="142"/>
              </w:tabs>
              <w:spacing w:after="0" w:line="240" w:lineRule="auto"/>
              <w:ind w:left="2126" w:right="170" w:hanging="2126"/>
              <w:jc w:val="both"/>
              <w:rPr>
                <w:rFonts w:ascii="Verdana" w:eastAsia="Times New Roman" w:hAnsi="Verdana" w:cs="Arial"/>
                <w:i/>
                <w:sz w:val="20"/>
                <w:szCs w:val="20"/>
                <w:lang w:eastAsia="de-DE"/>
              </w:rPr>
            </w:pPr>
            <w:r w:rsidRPr="0078296B">
              <w:rPr>
                <w:rFonts w:ascii="Verdana" w:eastAsia="Times New Roman" w:hAnsi="Verdana" w:cs="Times New Roman"/>
                <w:i/>
                <w:sz w:val="20"/>
                <w:szCs w:val="20"/>
                <w:lang w:val="de-DE" w:eastAsia="de-DE"/>
              </w:rPr>
              <w:t>Moderation und Betreuung:</w:t>
            </w:r>
            <w:r w:rsidRPr="0078296B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de-DE"/>
              </w:rPr>
              <w:t xml:space="preserve"> </w:t>
            </w:r>
            <w:r w:rsidRPr="0078296B">
              <w:rPr>
                <w:rFonts w:ascii="Verdana" w:eastAsia="Times New Roman" w:hAnsi="Verdana" w:cs="Arial"/>
                <w:sz w:val="20"/>
                <w:szCs w:val="20"/>
                <w:lang w:val="de-DE" w:eastAsia="de-DE"/>
              </w:rPr>
              <w:t>eco</w:t>
            </w:r>
            <w:r w:rsidR="000E20E4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>versum</w:t>
            </w:r>
            <w:r w:rsidR="00DF1310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 xml:space="preserve"> </w:t>
            </w:r>
            <w:r w:rsidR="007E70B6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>Ing</w:t>
            </w:r>
            <w:r w:rsidR="00DF1310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>.</w:t>
            </w:r>
            <w:r w:rsidR="00DF1310" w:rsidRPr="00DF1310">
              <w:rPr>
                <w:rFonts w:ascii="Verdana" w:eastAsia="Times New Roman" w:hAnsi="Verdana" w:cs="Arial"/>
                <w:i/>
                <w:sz w:val="20"/>
                <w:szCs w:val="20"/>
                <w:vertAlign w:val="superscript"/>
                <w:lang w:val="de-DE" w:eastAsia="de-DE"/>
              </w:rPr>
              <w:t>in</w:t>
            </w:r>
            <w:r w:rsidR="00DF1310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 xml:space="preserve"> </w:t>
            </w:r>
            <w:r w:rsidR="007E70B6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>Daniela List</w:t>
            </w:r>
            <w:r w:rsidR="004F70A5" w:rsidRPr="007E7A22">
              <w:rPr>
                <w:rFonts w:ascii="Verdana" w:eastAsia="Times New Roman" w:hAnsi="Verdana" w:cs="Arial"/>
                <w:i/>
                <w:sz w:val="20"/>
                <w:szCs w:val="20"/>
                <w:lang w:val="de-DE" w:eastAsia="de-DE"/>
              </w:rPr>
              <w:t xml:space="preserve"> </w:t>
            </w:r>
          </w:p>
        </w:tc>
      </w:tr>
    </w:tbl>
    <w:p w14:paraId="0D96C61B" w14:textId="77777777" w:rsidR="00D55B5C" w:rsidRPr="00D55B5C" w:rsidRDefault="00D55B5C" w:rsidP="0021137C">
      <w:pPr>
        <w:tabs>
          <w:tab w:val="left" w:pos="2268"/>
        </w:tabs>
        <w:spacing w:before="240" w:after="240" w:line="240" w:lineRule="auto"/>
        <w:ind w:left="2268" w:right="170" w:hanging="2240"/>
        <w:jc w:val="center"/>
        <w:rPr>
          <w:rFonts w:ascii="Verdana" w:hAnsi="Verdana"/>
          <w:i/>
        </w:rPr>
      </w:pPr>
      <w:r w:rsidRPr="00D55B5C">
        <w:rPr>
          <w:rFonts w:ascii="Verdana" w:eastAsia="Times New Roman" w:hAnsi="Verdana" w:cs="Times New Roman"/>
          <w:b/>
          <w:smallCaps/>
          <w:sz w:val="28"/>
          <w:szCs w:val="28"/>
          <w:lang w:eastAsia="de-DE"/>
        </w:rPr>
        <w:t>ORGANISATORISCHES</w:t>
      </w:r>
    </w:p>
    <w:p w14:paraId="2577D444" w14:textId="62C1D86E" w:rsidR="00D55B5C" w:rsidRPr="00FE13A0" w:rsidRDefault="00D55B5C" w:rsidP="0021137C">
      <w:pPr>
        <w:tabs>
          <w:tab w:val="left" w:pos="2268"/>
        </w:tabs>
        <w:spacing w:before="40" w:after="40"/>
        <w:ind w:left="2268" w:right="-141" w:hanging="2240"/>
        <w:jc w:val="both"/>
        <w:rPr>
          <w:rFonts w:ascii="Verdana" w:hAnsi="Verdana"/>
          <w:iCs/>
        </w:rPr>
      </w:pPr>
      <w:r w:rsidRPr="00D55B5C">
        <w:rPr>
          <w:rFonts w:ascii="Verdana" w:hAnsi="Verdana"/>
          <w:b/>
          <w:bCs/>
          <w:iCs/>
          <w:sz w:val="20"/>
          <w:szCs w:val="20"/>
        </w:rPr>
        <w:t>Veranstalter</w:t>
      </w:r>
      <w:r w:rsidRPr="00D55B5C">
        <w:rPr>
          <w:rFonts w:ascii="Verdana" w:hAnsi="Verdana"/>
          <w:iCs/>
          <w:sz w:val="20"/>
          <w:szCs w:val="20"/>
        </w:rPr>
        <w:t>:</w:t>
      </w:r>
      <w:r w:rsidRPr="00D55B5C">
        <w:rPr>
          <w:rFonts w:ascii="Verdana" w:hAnsi="Verdana"/>
          <w:iCs/>
          <w:sz w:val="20"/>
          <w:szCs w:val="20"/>
        </w:rPr>
        <w:tab/>
        <w:t>ecoversum &amp; A14-Wasserwirtschaft, Ressourcen und Nachhaltigkeit</w:t>
      </w:r>
      <w:r w:rsidRPr="00D55B5C">
        <w:rPr>
          <w:rFonts w:ascii="Verdana" w:hAnsi="Verdana"/>
          <w:iCs/>
          <w:sz w:val="20"/>
          <w:szCs w:val="20"/>
        </w:rPr>
        <w:br/>
      </w:r>
      <w:r w:rsidRPr="00FE13A0">
        <w:rPr>
          <w:rFonts w:ascii="Verdana" w:hAnsi="Verdana"/>
          <w:i/>
          <w:sz w:val="20"/>
          <w:szCs w:val="20"/>
        </w:rPr>
        <w:t xml:space="preserve">in Kooperation mit A8–Fachbereich Lebensmittelaufsicht und ÖVGW </w:t>
      </w:r>
    </w:p>
    <w:p w14:paraId="6A9BD2ED" w14:textId="34AB291C" w:rsidR="00D55B5C" w:rsidRPr="00D55B5C" w:rsidRDefault="00D55B5C" w:rsidP="0021137C">
      <w:pPr>
        <w:tabs>
          <w:tab w:val="left" w:pos="2268"/>
        </w:tabs>
        <w:spacing w:before="40" w:after="40"/>
        <w:ind w:left="2268" w:right="-141" w:hanging="2240"/>
        <w:rPr>
          <w:rFonts w:ascii="Verdana" w:hAnsi="Verdana"/>
          <w:i/>
          <w:sz w:val="20"/>
          <w:szCs w:val="20"/>
        </w:rPr>
      </w:pPr>
      <w:r w:rsidRPr="00D55B5C">
        <w:rPr>
          <w:rFonts w:ascii="Verdana" w:hAnsi="Verdana"/>
          <w:b/>
          <w:bCs/>
          <w:iCs/>
          <w:sz w:val="20"/>
          <w:szCs w:val="20"/>
        </w:rPr>
        <w:t>Veranstaltungsort</w:t>
      </w:r>
      <w:r w:rsidRPr="00D55B5C">
        <w:rPr>
          <w:rFonts w:ascii="Verdana" w:hAnsi="Verdana"/>
          <w:iCs/>
          <w:sz w:val="20"/>
          <w:szCs w:val="20"/>
        </w:rPr>
        <w:t>:</w:t>
      </w:r>
      <w:r w:rsidRPr="00D55B5C">
        <w:rPr>
          <w:rFonts w:ascii="Verdana" w:hAnsi="Verdana"/>
          <w:iCs/>
          <w:sz w:val="20"/>
          <w:szCs w:val="20"/>
        </w:rPr>
        <w:tab/>
        <w:t>B</w:t>
      </w:r>
      <w:r w:rsidR="00AC25C2">
        <w:rPr>
          <w:rFonts w:ascii="Verdana" w:hAnsi="Verdana"/>
          <w:iCs/>
          <w:sz w:val="20"/>
          <w:szCs w:val="20"/>
        </w:rPr>
        <w:t>auakademie Übelbach</w:t>
      </w:r>
      <w:r w:rsidRPr="00D55B5C">
        <w:rPr>
          <w:rFonts w:ascii="Verdana" w:hAnsi="Verdana"/>
          <w:i/>
          <w:sz w:val="20"/>
          <w:szCs w:val="20"/>
        </w:rPr>
        <w:t xml:space="preserve"> </w:t>
      </w:r>
      <w:r w:rsidR="00654D1E">
        <w:rPr>
          <w:rFonts w:ascii="Verdana" w:hAnsi="Verdana"/>
          <w:i/>
          <w:sz w:val="20"/>
          <w:szCs w:val="20"/>
        </w:rPr>
        <w:t xml:space="preserve">| </w:t>
      </w:r>
      <w:proofErr w:type="spellStart"/>
      <w:r w:rsidR="00871446">
        <w:rPr>
          <w:rFonts w:ascii="Verdana" w:hAnsi="Verdana"/>
          <w:iCs/>
          <w:sz w:val="20"/>
          <w:szCs w:val="20"/>
        </w:rPr>
        <w:t>Gleinalmstraße</w:t>
      </w:r>
      <w:proofErr w:type="spellEnd"/>
      <w:r w:rsidR="00871446">
        <w:rPr>
          <w:rFonts w:ascii="Verdana" w:hAnsi="Verdana"/>
          <w:iCs/>
          <w:sz w:val="20"/>
          <w:szCs w:val="20"/>
        </w:rPr>
        <w:t xml:space="preserve"> 73</w:t>
      </w:r>
      <w:r w:rsidRPr="00D55B5C">
        <w:rPr>
          <w:rFonts w:ascii="Verdana" w:hAnsi="Verdana"/>
          <w:iCs/>
          <w:sz w:val="20"/>
          <w:szCs w:val="20"/>
        </w:rPr>
        <w:t xml:space="preserve">, </w:t>
      </w:r>
      <w:r w:rsidR="00871446">
        <w:rPr>
          <w:rFonts w:ascii="Verdana" w:hAnsi="Verdana"/>
          <w:iCs/>
          <w:sz w:val="20"/>
          <w:szCs w:val="20"/>
        </w:rPr>
        <w:t>8124 Übelbach</w:t>
      </w:r>
    </w:p>
    <w:p w14:paraId="1B170418" w14:textId="266F4B78" w:rsidR="00D55B5C" w:rsidRDefault="00D55B5C" w:rsidP="0021137C">
      <w:pPr>
        <w:tabs>
          <w:tab w:val="left" w:pos="2268"/>
        </w:tabs>
        <w:spacing w:before="40" w:after="40"/>
        <w:ind w:left="2268" w:right="-141" w:hanging="2240"/>
        <w:rPr>
          <w:rFonts w:ascii="Verdana" w:hAnsi="Verdana"/>
          <w:i/>
          <w:sz w:val="18"/>
          <w:szCs w:val="18"/>
        </w:rPr>
      </w:pPr>
      <w:r w:rsidRPr="00420DBA">
        <w:rPr>
          <w:rFonts w:ascii="Verdana" w:hAnsi="Verdana"/>
          <w:b/>
          <w:bCs/>
          <w:iCs/>
          <w:sz w:val="20"/>
          <w:szCs w:val="20"/>
        </w:rPr>
        <w:t>Kosten</w:t>
      </w:r>
      <w:r w:rsidRPr="00D55B5C">
        <w:rPr>
          <w:rFonts w:ascii="Verdana" w:hAnsi="Verdana"/>
          <w:iCs/>
          <w:sz w:val="21"/>
          <w:szCs w:val="21"/>
        </w:rPr>
        <w:t>:</w:t>
      </w:r>
      <w:r w:rsidRPr="00D55B5C">
        <w:rPr>
          <w:rFonts w:ascii="Verdana" w:hAnsi="Verdana"/>
          <w:iCs/>
          <w:sz w:val="21"/>
          <w:szCs w:val="21"/>
        </w:rPr>
        <w:tab/>
      </w:r>
      <w:r w:rsidR="00C3332A">
        <w:rPr>
          <w:rFonts w:ascii="Verdana" w:hAnsi="Verdana"/>
          <w:iCs/>
          <w:sz w:val="21"/>
          <w:szCs w:val="21"/>
        </w:rPr>
        <w:t>1</w:t>
      </w:r>
      <w:r w:rsidR="00694466">
        <w:rPr>
          <w:rFonts w:ascii="Verdana" w:hAnsi="Verdana"/>
          <w:iCs/>
          <w:sz w:val="21"/>
          <w:szCs w:val="21"/>
        </w:rPr>
        <w:t>43</w:t>
      </w:r>
      <w:r w:rsidRPr="00D55B5C">
        <w:rPr>
          <w:rFonts w:ascii="Verdana" w:hAnsi="Verdana"/>
          <w:iCs/>
          <w:sz w:val="21"/>
          <w:szCs w:val="21"/>
        </w:rPr>
        <w:t xml:space="preserve">,00 Euro (inkl. 20 % </w:t>
      </w:r>
      <w:proofErr w:type="spellStart"/>
      <w:r w:rsidRPr="00D55B5C">
        <w:rPr>
          <w:rFonts w:ascii="Verdana" w:hAnsi="Verdana"/>
          <w:iCs/>
          <w:sz w:val="21"/>
          <w:szCs w:val="21"/>
        </w:rPr>
        <w:t>USt</w:t>
      </w:r>
      <w:proofErr w:type="spellEnd"/>
      <w:r w:rsidRPr="00D55B5C">
        <w:rPr>
          <w:rFonts w:ascii="Verdana" w:hAnsi="Verdana"/>
          <w:iCs/>
          <w:sz w:val="21"/>
          <w:szCs w:val="21"/>
        </w:rPr>
        <w:t xml:space="preserve">) </w:t>
      </w:r>
      <w:r>
        <w:rPr>
          <w:rFonts w:ascii="Verdana" w:hAnsi="Verdana"/>
          <w:iCs/>
          <w:sz w:val="21"/>
          <w:szCs w:val="21"/>
        </w:rPr>
        <w:br/>
      </w:r>
      <w:r w:rsidRPr="00D55B5C">
        <w:rPr>
          <w:rFonts w:ascii="Verdana" w:hAnsi="Verdana"/>
          <w:i/>
          <w:sz w:val="18"/>
          <w:szCs w:val="18"/>
        </w:rPr>
        <w:t xml:space="preserve">Darin enthalten sind </w:t>
      </w:r>
      <w:r w:rsidR="00FE13A0" w:rsidRPr="00D55B5C">
        <w:rPr>
          <w:rFonts w:ascii="Verdana" w:hAnsi="Verdana"/>
          <w:i/>
          <w:sz w:val="18"/>
          <w:szCs w:val="18"/>
        </w:rPr>
        <w:t>ÖVGW</w:t>
      </w:r>
      <w:r w:rsidR="00FE13A0">
        <w:rPr>
          <w:rFonts w:ascii="Verdana" w:hAnsi="Verdana"/>
          <w:i/>
          <w:sz w:val="18"/>
          <w:szCs w:val="18"/>
        </w:rPr>
        <w:t>-</w:t>
      </w:r>
      <w:r w:rsidRPr="00D55B5C">
        <w:rPr>
          <w:rFonts w:ascii="Verdana" w:hAnsi="Verdana"/>
          <w:i/>
          <w:sz w:val="18"/>
          <w:szCs w:val="18"/>
        </w:rPr>
        <w:t xml:space="preserve">Kosten für Kursunterlagen und Zertifikat (20 </w:t>
      </w:r>
      <w:r w:rsidR="00FE13A0">
        <w:rPr>
          <w:rFonts w:ascii="Verdana" w:hAnsi="Verdana"/>
          <w:i/>
          <w:sz w:val="18"/>
          <w:szCs w:val="18"/>
        </w:rPr>
        <w:t>€</w:t>
      </w:r>
      <w:r w:rsidRPr="00D55B5C">
        <w:rPr>
          <w:rFonts w:ascii="Verdana" w:hAnsi="Verdana"/>
          <w:i/>
          <w:sz w:val="18"/>
          <w:szCs w:val="18"/>
        </w:rPr>
        <w:t>). Die Rechnung erhalten Sie ca. 3 Wochen vor dem Seminar. Bitte sorgen Sie für fristgerechte Einzahlung</w:t>
      </w:r>
      <w:r w:rsidR="00FE13A0">
        <w:rPr>
          <w:rFonts w:ascii="Verdana" w:hAnsi="Verdana"/>
          <w:i/>
          <w:sz w:val="18"/>
          <w:szCs w:val="18"/>
        </w:rPr>
        <w:t>!</w:t>
      </w:r>
      <w:r w:rsidRPr="00D55B5C">
        <w:rPr>
          <w:rFonts w:ascii="Verdana" w:hAnsi="Verdana"/>
          <w:i/>
          <w:sz w:val="18"/>
          <w:szCs w:val="18"/>
        </w:rPr>
        <w:t xml:space="preserve"> </w:t>
      </w:r>
    </w:p>
    <w:p w14:paraId="333DEC9B" w14:textId="129A7DDA" w:rsidR="005B06E1" w:rsidRPr="00AB18D2" w:rsidRDefault="005B06E1" w:rsidP="00AB18D2">
      <w:pPr>
        <w:tabs>
          <w:tab w:val="left" w:pos="2268"/>
        </w:tabs>
        <w:spacing w:before="40" w:after="40"/>
        <w:ind w:left="2296" w:right="-142" w:hanging="2268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Anmeldung:</w:t>
      </w:r>
      <w:r>
        <w:rPr>
          <w:rFonts w:ascii="Verdana" w:hAnsi="Verdana"/>
          <w:b/>
          <w:bCs/>
          <w:iCs/>
          <w:sz w:val="20"/>
          <w:szCs w:val="20"/>
        </w:rPr>
        <w:tab/>
      </w:r>
      <w:r w:rsidR="00243374" w:rsidRPr="00243374">
        <w:rPr>
          <w:rFonts w:ascii="Verdana" w:hAnsi="Verdana"/>
          <w:iCs/>
          <w:sz w:val="20"/>
          <w:szCs w:val="20"/>
        </w:rPr>
        <w:t xml:space="preserve">direkt unter </w:t>
      </w:r>
      <w:r w:rsidR="003A35A4" w:rsidRPr="00243374">
        <w:rPr>
          <w:rFonts w:ascii="Verdana" w:hAnsi="Verdana"/>
          <w:iCs/>
          <w:sz w:val="20"/>
          <w:szCs w:val="20"/>
        </w:rPr>
        <w:t>nachstehende</w:t>
      </w:r>
      <w:r w:rsidR="00C736D2">
        <w:rPr>
          <w:rFonts w:ascii="Verdana" w:hAnsi="Verdana"/>
          <w:iCs/>
          <w:sz w:val="20"/>
          <w:szCs w:val="20"/>
        </w:rPr>
        <w:t>m</w:t>
      </w:r>
      <w:r w:rsidR="003A35A4" w:rsidRPr="00844B01">
        <w:rPr>
          <w:rFonts w:ascii="Verdana" w:hAnsi="Verdana"/>
          <w:iCs/>
          <w:sz w:val="20"/>
          <w:szCs w:val="20"/>
        </w:rPr>
        <w:t xml:space="preserve"> Link</w:t>
      </w:r>
      <w:r w:rsidR="00AB18D2">
        <w:rPr>
          <w:rFonts w:ascii="Verdana" w:hAnsi="Verdana"/>
          <w:iCs/>
          <w:sz w:val="20"/>
          <w:szCs w:val="20"/>
        </w:rPr>
        <w:t xml:space="preserve"> </w:t>
      </w:r>
      <w:r w:rsidR="00F77E16">
        <w:rPr>
          <w:rFonts w:ascii="Verdana" w:hAnsi="Verdana"/>
          <w:iCs/>
          <w:sz w:val="20"/>
          <w:szCs w:val="20"/>
        </w:rPr>
        <w:br/>
      </w:r>
    </w:p>
    <w:p w14:paraId="2513A7BC" w14:textId="2704D6CD" w:rsidR="00D55B5C" w:rsidRDefault="00D55B5C" w:rsidP="0021137C">
      <w:pPr>
        <w:tabs>
          <w:tab w:val="left" w:pos="2268"/>
        </w:tabs>
        <w:spacing w:before="40" w:after="0"/>
        <w:ind w:left="2268" w:right="-141" w:hanging="2240"/>
        <w:rPr>
          <w:rFonts w:ascii="Verdana" w:hAnsi="Verdana"/>
          <w:iCs/>
          <w:sz w:val="18"/>
          <w:szCs w:val="18"/>
        </w:rPr>
      </w:pPr>
      <w:r w:rsidRPr="00D55B5C">
        <w:rPr>
          <w:rFonts w:ascii="Verdana" w:hAnsi="Verdana"/>
          <w:b/>
          <w:bCs/>
          <w:iCs/>
          <w:sz w:val="20"/>
          <w:szCs w:val="20"/>
        </w:rPr>
        <w:t>Anmeldeschluss</w:t>
      </w:r>
      <w:r w:rsidRPr="00D55B5C">
        <w:rPr>
          <w:rFonts w:ascii="Verdana" w:hAnsi="Verdana"/>
          <w:i/>
        </w:rPr>
        <w:t>:</w:t>
      </w:r>
      <w:r w:rsidRPr="00D55B5C">
        <w:rPr>
          <w:rFonts w:ascii="Verdana" w:hAnsi="Verdana"/>
          <w:i/>
        </w:rPr>
        <w:tab/>
      </w:r>
      <w:r w:rsidR="004942AA">
        <w:rPr>
          <w:rFonts w:ascii="Verdana" w:hAnsi="Verdana"/>
          <w:iCs/>
          <w:sz w:val="20"/>
          <w:szCs w:val="20"/>
        </w:rPr>
        <w:t>Freitag</w:t>
      </w:r>
      <w:r w:rsidR="00B6030D">
        <w:rPr>
          <w:rFonts w:ascii="Verdana" w:hAnsi="Verdana"/>
          <w:iCs/>
          <w:sz w:val="20"/>
          <w:szCs w:val="20"/>
        </w:rPr>
        <w:t>,</w:t>
      </w:r>
      <w:r w:rsidR="00081A14">
        <w:rPr>
          <w:rFonts w:ascii="Verdana" w:hAnsi="Verdana"/>
          <w:iCs/>
          <w:sz w:val="20"/>
          <w:szCs w:val="20"/>
        </w:rPr>
        <w:t xml:space="preserve"> </w:t>
      </w:r>
      <w:r w:rsidR="004B02ED">
        <w:rPr>
          <w:rFonts w:ascii="Verdana" w:hAnsi="Verdana"/>
          <w:iCs/>
          <w:sz w:val="20"/>
          <w:szCs w:val="20"/>
        </w:rPr>
        <w:t>1</w:t>
      </w:r>
      <w:r w:rsidR="00E40FE5">
        <w:rPr>
          <w:rFonts w:ascii="Verdana" w:hAnsi="Verdana"/>
          <w:iCs/>
          <w:sz w:val="20"/>
          <w:szCs w:val="20"/>
        </w:rPr>
        <w:t>6</w:t>
      </w:r>
      <w:r w:rsidR="00081A14">
        <w:rPr>
          <w:rFonts w:ascii="Verdana" w:hAnsi="Verdana"/>
          <w:iCs/>
          <w:sz w:val="20"/>
          <w:szCs w:val="20"/>
        </w:rPr>
        <w:t>.</w:t>
      </w:r>
      <w:r w:rsidR="004B02ED">
        <w:rPr>
          <w:rFonts w:ascii="Verdana" w:hAnsi="Verdana"/>
          <w:iCs/>
          <w:sz w:val="20"/>
          <w:szCs w:val="20"/>
        </w:rPr>
        <w:t xml:space="preserve"> Mai</w:t>
      </w:r>
      <w:r w:rsidR="00081A14">
        <w:rPr>
          <w:rFonts w:ascii="Verdana" w:hAnsi="Verdana"/>
          <w:iCs/>
          <w:sz w:val="20"/>
          <w:szCs w:val="20"/>
        </w:rPr>
        <w:t xml:space="preserve"> 202</w:t>
      </w:r>
      <w:r w:rsidR="00A712F2">
        <w:rPr>
          <w:rFonts w:ascii="Verdana" w:hAnsi="Verdana"/>
          <w:iCs/>
          <w:sz w:val="20"/>
          <w:szCs w:val="20"/>
        </w:rPr>
        <w:t>6</w:t>
      </w:r>
      <w:r w:rsidRPr="00D55B5C">
        <w:rPr>
          <w:rFonts w:ascii="Verdana" w:hAnsi="Verdana"/>
          <w:iCs/>
          <w:sz w:val="20"/>
          <w:szCs w:val="20"/>
        </w:rPr>
        <w:t xml:space="preserve"> </w:t>
      </w:r>
      <w:r w:rsidR="00FE13A0">
        <w:rPr>
          <w:rFonts w:ascii="Verdana" w:hAnsi="Verdana"/>
          <w:iCs/>
          <w:sz w:val="18"/>
          <w:szCs w:val="18"/>
        </w:rPr>
        <w:br/>
      </w:r>
      <w:r w:rsidRPr="00D55B5C">
        <w:rPr>
          <w:rFonts w:ascii="Verdana" w:hAnsi="Verdana"/>
          <w:iCs/>
          <w:sz w:val="18"/>
          <w:szCs w:val="18"/>
        </w:rPr>
        <w:t>Bitte kommen Sie 20 Minuten vor Seminarbeginn, um Ihre Anwesenheit registrieren zu lassen.</w:t>
      </w:r>
    </w:p>
    <w:p w14:paraId="1D25DAEA" w14:textId="1033CF05" w:rsidR="00141238" w:rsidRPr="00141238" w:rsidRDefault="00141238" w:rsidP="0021137C">
      <w:pPr>
        <w:tabs>
          <w:tab w:val="left" w:pos="2268"/>
        </w:tabs>
        <w:spacing w:before="40" w:after="0"/>
        <w:ind w:left="2268" w:hanging="224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Kontakt</w:t>
      </w:r>
      <w:r w:rsidRPr="00D55B5C">
        <w:rPr>
          <w:rFonts w:ascii="Verdana" w:hAnsi="Verdana"/>
          <w:i/>
        </w:rPr>
        <w:t>:</w:t>
      </w:r>
      <w:r>
        <w:rPr>
          <w:rFonts w:ascii="Verdana" w:hAnsi="Verdana"/>
          <w:i/>
        </w:rPr>
        <w:tab/>
      </w:r>
      <w:r w:rsidR="005C0146">
        <w:rPr>
          <w:rFonts w:ascii="Verdana" w:hAnsi="Verdana"/>
          <w:iCs/>
          <w:sz w:val="20"/>
          <w:szCs w:val="20"/>
        </w:rPr>
        <w:t xml:space="preserve">ecoversum </w:t>
      </w:r>
      <w:r w:rsidR="00570218">
        <w:rPr>
          <w:rFonts w:ascii="Verdana" w:hAnsi="Verdana"/>
          <w:iCs/>
          <w:sz w:val="20"/>
          <w:szCs w:val="20"/>
        </w:rPr>
        <w:t xml:space="preserve">/ </w:t>
      </w:r>
      <w:r w:rsidR="005C0146">
        <w:rPr>
          <w:rFonts w:ascii="Verdana" w:hAnsi="Verdana"/>
          <w:iCs/>
          <w:sz w:val="20"/>
          <w:szCs w:val="20"/>
        </w:rPr>
        <w:t>Frau Schwarzbauer</w:t>
      </w:r>
      <w:r w:rsidR="00610658">
        <w:rPr>
          <w:rFonts w:ascii="Verdana" w:hAnsi="Verdana"/>
          <w:iCs/>
          <w:sz w:val="20"/>
          <w:szCs w:val="20"/>
        </w:rPr>
        <w:t xml:space="preserve"> 0664 516 7001 | office@ecoversum.at</w:t>
      </w:r>
    </w:p>
    <w:sectPr w:rsidR="00141238" w:rsidRPr="00141238" w:rsidSect="006F21DF">
      <w:headerReference w:type="default" r:id="rId8"/>
      <w:type w:val="continuous"/>
      <w:pgSz w:w="11906" w:h="16838"/>
      <w:pgMar w:top="994" w:right="991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17B4" w14:textId="77777777" w:rsidR="00F50E38" w:rsidRDefault="00F50E38" w:rsidP="00D9178D">
      <w:pPr>
        <w:spacing w:after="0" w:line="240" w:lineRule="auto"/>
      </w:pPr>
      <w:r>
        <w:separator/>
      </w:r>
    </w:p>
  </w:endnote>
  <w:endnote w:type="continuationSeparator" w:id="0">
    <w:p w14:paraId="6D51F23E" w14:textId="77777777" w:rsidR="00F50E38" w:rsidRDefault="00F50E38" w:rsidP="00D9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878F" w14:textId="77777777" w:rsidR="00F50E38" w:rsidRDefault="00F50E38" w:rsidP="00D9178D">
      <w:pPr>
        <w:spacing w:after="0" w:line="240" w:lineRule="auto"/>
      </w:pPr>
      <w:r>
        <w:separator/>
      </w:r>
    </w:p>
  </w:footnote>
  <w:footnote w:type="continuationSeparator" w:id="0">
    <w:p w14:paraId="47AFEC6F" w14:textId="77777777" w:rsidR="00F50E38" w:rsidRDefault="00F50E38" w:rsidP="00D9178D">
      <w:pPr>
        <w:spacing w:after="0" w:line="240" w:lineRule="auto"/>
      </w:pPr>
      <w:r>
        <w:continuationSeparator/>
      </w:r>
    </w:p>
  </w:footnote>
  <w:footnote w:id="1">
    <w:p w14:paraId="38EFCFD8" w14:textId="77777777" w:rsidR="00DC75DE" w:rsidRPr="00476356" w:rsidRDefault="00DC75DE" w:rsidP="00DC75DE">
      <w:pPr>
        <w:pStyle w:val="Fuzeile"/>
      </w:pPr>
      <w:r w:rsidRPr="00C95C03">
        <w:rPr>
          <w:rStyle w:val="Funotenzeichen"/>
          <w:rFonts w:ascii="Verdana" w:hAnsi="Verdana"/>
          <w:sz w:val="16"/>
          <w:szCs w:val="16"/>
        </w:rPr>
        <w:footnoteRef/>
      </w:r>
      <w:r w:rsidRPr="00C95C03">
        <w:rPr>
          <w:rFonts w:ascii="Verdana" w:hAnsi="Verdana"/>
          <w:sz w:val="16"/>
          <w:szCs w:val="16"/>
        </w:rPr>
        <w:t xml:space="preserve"> Als „kleine Wasserversorgungsanlagen“ gelten jene, die weniger als 10 m³ pro Tag in Verkehr bringen.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3F6B" w14:textId="4F7E9F5F" w:rsidR="00ED6F4E" w:rsidRDefault="00C0610B" w:rsidP="00EB3F1E">
    <w:pPr>
      <w:pStyle w:val="Kopfzeile"/>
      <w:tabs>
        <w:tab w:val="clear" w:pos="4536"/>
        <w:tab w:val="clear" w:pos="9072"/>
        <w:tab w:val="left" w:pos="3119"/>
        <w:tab w:val="left" w:pos="5670"/>
        <w:tab w:val="left" w:pos="7938"/>
      </w:tabs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279F086" wp14:editId="3B35352E">
          <wp:simplePos x="0" y="0"/>
          <wp:positionH relativeFrom="column">
            <wp:posOffset>-122555</wp:posOffset>
          </wp:positionH>
          <wp:positionV relativeFrom="paragraph">
            <wp:posOffset>173355</wp:posOffset>
          </wp:positionV>
          <wp:extent cx="1562100" cy="172720"/>
          <wp:effectExtent l="0" t="0" r="0" b="0"/>
          <wp:wrapTight wrapText="bothSides">
            <wp:wrapPolygon edited="0">
              <wp:start x="0" y="0"/>
              <wp:lineTo x="0" y="19059"/>
              <wp:lineTo x="21337" y="19059"/>
              <wp:lineTo x="2133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gb 72dpi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4E">
      <w:tab/>
    </w:r>
    <w:r w:rsidR="00EB3F1E">
      <w:rPr>
        <w:noProof/>
        <w:lang w:val="de-DE" w:eastAsia="de-DE"/>
      </w:rPr>
      <w:drawing>
        <wp:inline distT="0" distB="0" distL="0" distR="0" wp14:anchorId="132CD71C" wp14:editId="29FC241F">
          <wp:extent cx="1047750" cy="527699"/>
          <wp:effectExtent l="0" t="0" r="0" b="5715"/>
          <wp:docPr id="2" name="Grafik 2" descr="logo_farbe_ohne 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rbe_ohne Rand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27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6F4E">
      <w:tab/>
    </w:r>
    <w:r w:rsidR="00EB3F1E">
      <w:rPr>
        <w:noProof/>
        <w:lang w:val="de-DE" w:eastAsia="de-DE"/>
      </w:rPr>
      <w:drawing>
        <wp:inline distT="0" distB="0" distL="0" distR="0" wp14:anchorId="5346F5F0" wp14:editId="6455D206">
          <wp:extent cx="864000" cy="481302"/>
          <wp:effectExtent l="0" t="0" r="0" b="1905"/>
          <wp:docPr id="3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481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6F4E">
      <w:tab/>
    </w:r>
    <w:r w:rsidR="00EB3F1E">
      <w:rPr>
        <w:noProof/>
        <w:lang w:val="de-DE" w:eastAsia="de-DE"/>
      </w:rPr>
      <w:drawing>
        <wp:inline distT="0" distB="0" distL="0" distR="0" wp14:anchorId="4CB167BA" wp14:editId="4CE529CE">
          <wp:extent cx="846000" cy="471600"/>
          <wp:effectExtent l="0" t="0" r="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_Steiermark_Logo_Wasserwirtschaft_18x10cm.jpg"/>
                  <pic:cNvPicPr/>
                </pic:nvPicPr>
                <pic:blipFill>
                  <a:blip r:embed="rId4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E2C"/>
    <w:multiLevelType w:val="hybridMultilevel"/>
    <w:tmpl w:val="82020668"/>
    <w:lvl w:ilvl="0" w:tplc="0C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9349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07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8D"/>
    <w:rsid w:val="000129B1"/>
    <w:rsid w:val="000252FB"/>
    <w:rsid w:val="000420AF"/>
    <w:rsid w:val="0004766E"/>
    <w:rsid w:val="0005242B"/>
    <w:rsid w:val="00057705"/>
    <w:rsid w:val="000629AF"/>
    <w:rsid w:val="000741F2"/>
    <w:rsid w:val="00077384"/>
    <w:rsid w:val="00077DFA"/>
    <w:rsid w:val="00081A14"/>
    <w:rsid w:val="00097BD5"/>
    <w:rsid w:val="000A1FF5"/>
    <w:rsid w:val="000A5DF1"/>
    <w:rsid w:val="000B2BCD"/>
    <w:rsid w:val="000C0BAB"/>
    <w:rsid w:val="000C7989"/>
    <w:rsid w:val="000E20E4"/>
    <w:rsid w:val="000E2F2E"/>
    <w:rsid w:val="000E74EE"/>
    <w:rsid w:val="00111A25"/>
    <w:rsid w:val="0011557F"/>
    <w:rsid w:val="001365E1"/>
    <w:rsid w:val="00136FF7"/>
    <w:rsid w:val="00141238"/>
    <w:rsid w:val="001569F8"/>
    <w:rsid w:val="00160627"/>
    <w:rsid w:val="00174A63"/>
    <w:rsid w:val="0017790B"/>
    <w:rsid w:val="00181192"/>
    <w:rsid w:val="00185117"/>
    <w:rsid w:val="00186C21"/>
    <w:rsid w:val="00186F5D"/>
    <w:rsid w:val="00190E6A"/>
    <w:rsid w:val="00192B68"/>
    <w:rsid w:val="00192D51"/>
    <w:rsid w:val="001A49CE"/>
    <w:rsid w:val="001A7133"/>
    <w:rsid w:val="001B132F"/>
    <w:rsid w:val="001B5DB9"/>
    <w:rsid w:val="001E6429"/>
    <w:rsid w:val="001F494D"/>
    <w:rsid w:val="002019BC"/>
    <w:rsid w:val="0021126B"/>
    <w:rsid w:val="0021137C"/>
    <w:rsid w:val="00220C19"/>
    <w:rsid w:val="00227675"/>
    <w:rsid w:val="00235B38"/>
    <w:rsid w:val="00243374"/>
    <w:rsid w:val="002452BE"/>
    <w:rsid w:val="00257F41"/>
    <w:rsid w:val="0026199D"/>
    <w:rsid w:val="00292A2D"/>
    <w:rsid w:val="00294C77"/>
    <w:rsid w:val="00295925"/>
    <w:rsid w:val="00296F8C"/>
    <w:rsid w:val="002A0C17"/>
    <w:rsid w:val="002B624A"/>
    <w:rsid w:val="002E47D5"/>
    <w:rsid w:val="002F3046"/>
    <w:rsid w:val="00300BF8"/>
    <w:rsid w:val="003050D5"/>
    <w:rsid w:val="00311E6C"/>
    <w:rsid w:val="0031467C"/>
    <w:rsid w:val="003231E6"/>
    <w:rsid w:val="00323415"/>
    <w:rsid w:val="0032467E"/>
    <w:rsid w:val="0034606D"/>
    <w:rsid w:val="0035411D"/>
    <w:rsid w:val="00355BE3"/>
    <w:rsid w:val="00374B4C"/>
    <w:rsid w:val="00376AF0"/>
    <w:rsid w:val="00382992"/>
    <w:rsid w:val="003831FA"/>
    <w:rsid w:val="0038468F"/>
    <w:rsid w:val="00396976"/>
    <w:rsid w:val="003A35A4"/>
    <w:rsid w:val="003B70F1"/>
    <w:rsid w:val="003E0421"/>
    <w:rsid w:val="003E2006"/>
    <w:rsid w:val="00405EAF"/>
    <w:rsid w:val="00412918"/>
    <w:rsid w:val="00420DBA"/>
    <w:rsid w:val="00424D62"/>
    <w:rsid w:val="00430C52"/>
    <w:rsid w:val="004444EF"/>
    <w:rsid w:val="0046367D"/>
    <w:rsid w:val="00465A78"/>
    <w:rsid w:val="00476356"/>
    <w:rsid w:val="00492AF0"/>
    <w:rsid w:val="004942AA"/>
    <w:rsid w:val="004B02ED"/>
    <w:rsid w:val="004B2BE4"/>
    <w:rsid w:val="004C6728"/>
    <w:rsid w:val="004E02E9"/>
    <w:rsid w:val="004F39BF"/>
    <w:rsid w:val="004F70A5"/>
    <w:rsid w:val="004F7FDC"/>
    <w:rsid w:val="00507085"/>
    <w:rsid w:val="00522F6B"/>
    <w:rsid w:val="00533F53"/>
    <w:rsid w:val="00534D00"/>
    <w:rsid w:val="00542049"/>
    <w:rsid w:val="0054396C"/>
    <w:rsid w:val="005441E3"/>
    <w:rsid w:val="00556157"/>
    <w:rsid w:val="00560675"/>
    <w:rsid w:val="00562780"/>
    <w:rsid w:val="00565A95"/>
    <w:rsid w:val="00570218"/>
    <w:rsid w:val="00571FB6"/>
    <w:rsid w:val="0058244A"/>
    <w:rsid w:val="0059248F"/>
    <w:rsid w:val="005A3194"/>
    <w:rsid w:val="005B06E1"/>
    <w:rsid w:val="005C0146"/>
    <w:rsid w:val="005E4C80"/>
    <w:rsid w:val="005F66AA"/>
    <w:rsid w:val="00600A24"/>
    <w:rsid w:val="00602499"/>
    <w:rsid w:val="00602D72"/>
    <w:rsid w:val="00610405"/>
    <w:rsid w:val="00610658"/>
    <w:rsid w:val="00613798"/>
    <w:rsid w:val="00617209"/>
    <w:rsid w:val="0063045A"/>
    <w:rsid w:val="00633512"/>
    <w:rsid w:val="00641D60"/>
    <w:rsid w:val="00653478"/>
    <w:rsid w:val="00654D1E"/>
    <w:rsid w:val="00681115"/>
    <w:rsid w:val="00693C76"/>
    <w:rsid w:val="00694466"/>
    <w:rsid w:val="006B2749"/>
    <w:rsid w:val="006B31BB"/>
    <w:rsid w:val="006B37F9"/>
    <w:rsid w:val="006B3DBE"/>
    <w:rsid w:val="006B53DA"/>
    <w:rsid w:val="006C3020"/>
    <w:rsid w:val="006C32FE"/>
    <w:rsid w:val="006D788F"/>
    <w:rsid w:val="006E70F9"/>
    <w:rsid w:val="006F21DF"/>
    <w:rsid w:val="006F33EF"/>
    <w:rsid w:val="00706588"/>
    <w:rsid w:val="007072C2"/>
    <w:rsid w:val="00712644"/>
    <w:rsid w:val="007167DC"/>
    <w:rsid w:val="00716D4C"/>
    <w:rsid w:val="007323EF"/>
    <w:rsid w:val="00747389"/>
    <w:rsid w:val="007477E8"/>
    <w:rsid w:val="00757A1F"/>
    <w:rsid w:val="00774347"/>
    <w:rsid w:val="007744B0"/>
    <w:rsid w:val="00782581"/>
    <w:rsid w:val="0078296B"/>
    <w:rsid w:val="00786B83"/>
    <w:rsid w:val="007A0638"/>
    <w:rsid w:val="007A7BBF"/>
    <w:rsid w:val="007A7D91"/>
    <w:rsid w:val="007B124B"/>
    <w:rsid w:val="007B1CC7"/>
    <w:rsid w:val="007B6BAA"/>
    <w:rsid w:val="007B7FA1"/>
    <w:rsid w:val="007E70B6"/>
    <w:rsid w:val="007E7A22"/>
    <w:rsid w:val="00805D72"/>
    <w:rsid w:val="00806548"/>
    <w:rsid w:val="00807C3B"/>
    <w:rsid w:val="00813DB2"/>
    <w:rsid w:val="008250FA"/>
    <w:rsid w:val="0083200F"/>
    <w:rsid w:val="00835F2B"/>
    <w:rsid w:val="00844B01"/>
    <w:rsid w:val="00853F54"/>
    <w:rsid w:val="00871446"/>
    <w:rsid w:val="00884006"/>
    <w:rsid w:val="008926C5"/>
    <w:rsid w:val="00895EF6"/>
    <w:rsid w:val="008A19D7"/>
    <w:rsid w:val="008A4026"/>
    <w:rsid w:val="008A6F9F"/>
    <w:rsid w:val="008A793D"/>
    <w:rsid w:val="008B522C"/>
    <w:rsid w:val="008B77FA"/>
    <w:rsid w:val="008C3388"/>
    <w:rsid w:val="008C453F"/>
    <w:rsid w:val="008D1671"/>
    <w:rsid w:val="008D6F4F"/>
    <w:rsid w:val="008E76DF"/>
    <w:rsid w:val="008F587C"/>
    <w:rsid w:val="00902235"/>
    <w:rsid w:val="009125C0"/>
    <w:rsid w:val="00930A20"/>
    <w:rsid w:val="009354C7"/>
    <w:rsid w:val="00950FBF"/>
    <w:rsid w:val="0095366B"/>
    <w:rsid w:val="00953CD7"/>
    <w:rsid w:val="009637D9"/>
    <w:rsid w:val="009723B1"/>
    <w:rsid w:val="0099441A"/>
    <w:rsid w:val="009A0DE5"/>
    <w:rsid w:val="009A259C"/>
    <w:rsid w:val="009B25A2"/>
    <w:rsid w:val="009B5CE3"/>
    <w:rsid w:val="009D5156"/>
    <w:rsid w:val="00A073C7"/>
    <w:rsid w:val="00A11109"/>
    <w:rsid w:val="00A115A0"/>
    <w:rsid w:val="00A12707"/>
    <w:rsid w:val="00A242A3"/>
    <w:rsid w:val="00A435BE"/>
    <w:rsid w:val="00A45B89"/>
    <w:rsid w:val="00A60F40"/>
    <w:rsid w:val="00A67443"/>
    <w:rsid w:val="00A712F2"/>
    <w:rsid w:val="00A7492E"/>
    <w:rsid w:val="00A74AAF"/>
    <w:rsid w:val="00A77E6B"/>
    <w:rsid w:val="00A83EC2"/>
    <w:rsid w:val="00A862B2"/>
    <w:rsid w:val="00A93CBB"/>
    <w:rsid w:val="00AA6BD5"/>
    <w:rsid w:val="00AB18D2"/>
    <w:rsid w:val="00AB7E2F"/>
    <w:rsid w:val="00AC25C2"/>
    <w:rsid w:val="00AC69EC"/>
    <w:rsid w:val="00AD576A"/>
    <w:rsid w:val="00AE3A8B"/>
    <w:rsid w:val="00AE647B"/>
    <w:rsid w:val="00AE67AC"/>
    <w:rsid w:val="00AF7021"/>
    <w:rsid w:val="00B046D8"/>
    <w:rsid w:val="00B47399"/>
    <w:rsid w:val="00B47C29"/>
    <w:rsid w:val="00B5242B"/>
    <w:rsid w:val="00B52916"/>
    <w:rsid w:val="00B6030D"/>
    <w:rsid w:val="00B83DA3"/>
    <w:rsid w:val="00B842CD"/>
    <w:rsid w:val="00BA7860"/>
    <w:rsid w:val="00BC3FDE"/>
    <w:rsid w:val="00BD1F3C"/>
    <w:rsid w:val="00BF32BB"/>
    <w:rsid w:val="00BF4E39"/>
    <w:rsid w:val="00BF5D73"/>
    <w:rsid w:val="00C0610B"/>
    <w:rsid w:val="00C06E9E"/>
    <w:rsid w:val="00C1243D"/>
    <w:rsid w:val="00C22A1D"/>
    <w:rsid w:val="00C3332A"/>
    <w:rsid w:val="00C4128B"/>
    <w:rsid w:val="00C4561B"/>
    <w:rsid w:val="00C516F8"/>
    <w:rsid w:val="00C60AB0"/>
    <w:rsid w:val="00C60DA7"/>
    <w:rsid w:val="00C6562B"/>
    <w:rsid w:val="00C736D2"/>
    <w:rsid w:val="00C756A4"/>
    <w:rsid w:val="00C763DE"/>
    <w:rsid w:val="00C8701D"/>
    <w:rsid w:val="00C94278"/>
    <w:rsid w:val="00C95C03"/>
    <w:rsid w:val="00C963B0"/>
    <w:rsid w:val="00CA02D8"/>
    <w:rsid w:val="00CA52C9"/>
    <w:rsid w:val="00CC3504"/>
    <w:rsid w:val="00CC6EB5"/>
    <w:rsid w:val="00CD6C68"/>
    <w:rsid w:val="00CD7B4B"/>
    <w:rsid w:val="00CE24F9"/>
    <w:rsid w:val="00CE455C"/>
    <w:rsid w:val="00CF1087"/>
    <w:rsid w:val="00CF6CA4"/>
    <w:rsid w:val="00D00612"/>
    <w:rsid w:val="00D0502F"/>
    <w:rsid w:val="00D13189"/>
    <w:rsid w:val="00D206E2"/>
    <w:rsid w:val="00D35312"/>
    <w:rsid w:val="00D4548C"/>
    <w:rsid w:val="00D55B5C"/>
    <w:rsid w:val="00D63711"/>
    <w:rsid w:val="00D756BB"/>
    <w:rsid w:val="00D83629"/>
    <w:rsid w:val="00D877E2"/>
    <w:rsid w:val="00D9178D"/>
    <w:rsid w:val="00DB7B98"/>
    <w:rsid w:val="00DC037A"/>
    <w:rsid w:val="00DC0EA7"/>
    <w:rsid w:val="00DC586C"/>
    <w:rsid w:val="00DC75DE"/>
    <w:rsid w:val="00DD02DB"/>
    <w:rsid w:val="00DE6ED8"/>
    <w:rsid w:val="00DF1310"/>
    <w:rsid w:val="00DF6815"/>
    <w:rsid w:val="00E21F01"/>
    <w:rsid w:val="00E345E6"/>
    <w:rsid w:val="00E40FE5"/>
    <w:rsid w:val="00E50351"/>
    <w:rsid w:val="00E63B7D"/>
    <w:rsid w:val="00E740C9"/>
    <w:rsid w:val="00E748F8"/>
    <w:rsid w:val="00E777D2"/>
    <w:rsid w:val="00E97B7D"/>
    <w:rsid w:val="00EA5F17"/>
    <w:rsid w:val="00EB3F1E"/>
    <w:rsid w:val="00EC0ECF"/>
    <w:rsid w:val="00EC6C55"/>
    <w:rsid w:val="00ED6F4E"/>
    <w:rsid w:val="00ED7575"/>
    <w:rsid w:val="00EE19F0"/>
    <w:rsid w:val="00EF238B"/>
    <w:rsid w:val="00EF383A"/>
    <w:rsid w:val="00F048D4"/>
    <w:rsid w:val="00F13901"/>
    <w:rsid w:val="00F16BFA"/>
    <w:rsid w:val="00F208F0"/>
    <w:rsid w:val="00F237E0"/>
    <w:rsid w:val="00F259DF"/>
    <w:rsid w:val="00F2676A"/>
    <w:rsid w:val="00F36FD5"/>
    <w:rsid w:val="00F50E38"/>
    <w:rsid w:val="00F515CA"/>
    <w:rsid w:val="00F54305"/>
    <w:rsid w:val="00F5772E"/>
    <w:rsid w:val="00F654CB"/>
    <w:rsid w:val="00F74993"/>
    <w:rsid w:val="00F77E16"/>
    <w:rsid w:val="00F81862"/>
    <w:rsid w:val="00F83A54"/>
    <w:rsid w:val="00F83D49"/>
    <w:rsid w:val="00F8535E"/>
    <w:rsid w:val="00FA1199"/>
    <w:rsid w:val="00FA1B9E"/>
    <w:rsid w:val="00FA2360"/>
    <w:rsid w:val="00FB5FB6"/>
    <w:rsid w:val="00FC2A70"/>
    <w:rsid w:val="00FC3137"/>
    <w:rsid w:val="00FC52AE"/>
    <w:rsid w:val="00FD0A77"/>
    <w:rsid w:val="00FD74ED"/>
    <w:rsid w:val="00FE13A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742F05"/>
  <w15:docId w15:val="{C2B54668-1314-44EE-86FD-3D314DB9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178D"/>
  </w:style>
  <w:style w:type="paragraph" w:styleId="Fuzeile">
    <w:name w:val="footer"/>
    <w:basedOn w:val="Standard"/>
    <w:link w:val="FuzeileZchn"/>
    <w:uiPriority w:val="99"/>
    <w:unhideWhenUsed/>
    <w:rsid w:val="00D9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17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78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17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1720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sid w:val="00617209"/>
    <w:rPr>
      <w:vertAlign w:val="superscript"/>
    </w:rPr>
  </w:style>
  <w:style w:type="character" w:styleId="Hyperlink">
    <w:name w:val="Hyperlink"/>
    <w:rsid w:val="00FC3137"/>
    <w:rPr>
      <w:color w:val="0000FF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3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313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uiPriority w:val="99"/>
    <w:semiHidden/>
    <w:unhideWhenUsed/>
    <w:rsid w:val="00FC3137"/>
    <w:rPr>
      <w:vertAlign w:val="superscript"/>
    </w:rPr>
  </w:style>
  <w:style w:type="paragraph" w:customStyle="1" w:styleId="Uhr">
    <w:name w:val="Uhr"/>
    <w:basedOn w:val="Standard"/>
    <w:rsid w:val="006B31BB"/>
    <w:pPr>
      <w:tabs>
        <w:tab w:val="left" w:pos="1866"/>
      </w:tabs>
      <w:spacing w:after="160" w:line="240" w:lineRule="auto"/>
      <w:ind w:left="170" w:right="170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1126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5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C7F9-A932-C247-A0D7-8961C93D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ecoversum</dc:creator>
  <cp:lastModifiedBy>Daniela Schwarzbauer</cp:lastModifiedBy>
  <cp:revision>9</cp:revision>
  <cp:lastPrinted>2022-04-20T06:42:00Z</cp:lastPrinted>
  <dcterms:created xsi:type="dcterms:W3CDTF">2025-12-12T08:42:00Z</dcterms:created>
  <dcterms:modified xsi:type="dcterms:W3CDTF">2025-12-12T08:48:00Z</dcterms:modified>
</cp:coreProperties>
</file>